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44C9" w14:textId="77777777" w:rsidR="0056327F" w:rsidRDefault="0056327F" w:rsidP="0056327F">
      <w:pPr>
        <w:pStyle w:val="H1"/>
      </w:pPr>
    </w:p>
    <w:p w14:paraId="4742C07D" w14:textId="77777777" w:rsidR="0056327F" w:rsidRDefault="0056327F" w:rsidP="0056327F">
      <w:pPr>
        <w:pStyle w:val="H1"/>
      </w:pPr>
    </w:p>
    <w:tbl>
      <w:tblPr>
        <w:tblpPr w:leftFromText="141" w:rightFromText="141" w:vertAnchor="page" w:horzAnchor="page" w:tblpX="8801" w:tblpY="481"/>
        <w:tblW w:w="2835" w:type="dxa"/>
        <w:tblLook w:val="04A0" w:firstRow="1" w:lastRow="0" w:firstColumn="1" w:lastColumn="0" w:noHBand="0" w:noVBand="1"/>
        <w:tblCaption w:val="Soort document"/>
      </w:tblPr>
      <w:tblGrid>
        <w:gridCol w:w="2835"/>
      </w:tblGrid>
      <w:tr w:rsidR="00E9324B" w14:paraId="39DEFEC1" w14:textId="77777777" w:rsidTr="007D54A9">
        <w:tc>
          <w:tcPr>
            <w:tcW w:w="2835" w:type="dxa"/>
          </w:tcPr>
          <w:p w14:paraId="410D64C0" w14:textId="77777777" w:rsidR="00E9324B" w:rsidRPr="00D64853" w:rsidRDefault="00E9324B" w:rsidP="007D54A9">
            <w:pPr>
              <w:jc w:val="right"/>
              <w:rPr>
                <w:color w:val="B9C73B" w:themeColor="accent1"/>
                <w:sz w:val="16"/>
                <w:szCs w:val="20"/>
              </w:rPr>
            </w:pPr>
            <w:r w:rsidRPr="00FF5FCA">
              <w:rPr>
                <w:color w:val="FF7549" w:themeColor="accent3"/>
                <w:sz w:val="16"/>
                <w:szCs w:val="20"/>
              </w:rPr>
              <w:fldChar w:fldCharType="begin">
                <w:ffData>
                  <w:name w:val="Text1"/>
                  <w:enabled/>
                  <w:calcOnExit w:val="0"/>
                  <w:textInput>
                    <w:default w:val="Soort document"/>
                    <w:format w:val="Beginhoofdletter"/>
                  </w:textInput>
                </w:ffData>
              </w:fldChar>
            </w:r>
            <w:bookmarkStart w:id="0" w:name="Text1"/>
            <w:r w:rsidRPr="00FF5FCA">
              <w:rPr>
                <w:color w:val="FF7549" w:themeColor="accent3"/>
                <w:sz w:val="16"/>
                <w:szCs w:val="20"/>
              </w:rPr>
              <w:instrText xml:space="preserve"> FORMTEXT </w:instrText>
            </w:r>
            <w:r w:rsidRPr="00FF5FCA">
              <w:rPr>
                <w:color w:val="FF7549" w:themeColor="accent3"/>
                <w:sz w:val="16"/>
                <w:szCs w:val="20"/>
              </w:rPr>
            </w:r>
            <w:r w:rsidRPr="00FF5FCA">
              <w:rPr>
                <w:color w:val="FF7549" w:themeColor="accent3"/>
                <w:sz w:val="16"/>
                <w:szCs w:val="20"/>
              </w:rPr>
              <w:fldChar w:fldCharType="separate"/>
            </w:r>
            <w:r w:rsidRPr="00FF5FCA">
              <w:rPr>
                <w:noProof/>
                <w:color w:val="FF7549" w:themeColor="accent3"/>
                <w:sz w:val="16"/>
                <w:szCs w:val="20"/>
              </w:rPr>
              <w:t>Soort document</w:t>
            </w:r>
            <w:r w:rsidRPr="00FF5FCA">
              <w:rPr>
                <w:color w:val="FF7549" w:themeColor="accent3"/>
                <w:sz w:val="16"/>
                <w:szCs w:val="20"/>
              </w:rPr>
              <w:fldChar w:fldCharType="end"/>
            </w:r>
            <w:bookmarkEnd w:id="0"/>
          </w:p>
        </w:tc>
      </w:tr>
    </w:tbl>
    <w:p w14:paraId="3AE00642" w14:textId="77777777" w:rsidR="00E9324B" w:rsidRDefault="00E9324B" w:rsidP="00E9324B"/>
    <w:p w14:paraId="3F5CEB24" w14:textId="77777777" w:rsidR="00E9324B" w:rsidRDefault="00E9324B" w:rsidP="00E9324B"/>
    <w:p w14:paraId="6AB5A3C2" w14:textId="77777777" w:rsidR="00E9324B" w:rsidRDefault="00E9324B" w:rsidP="00E9324B"/>
    <w:p w14:paraId="555847F4" w14:textId="77777777" w:rsidR="00E9324B" w:rsidRDefault="00E9324B" w:rsidP="00E9324B"/>
    <w:p w14:paraId="36CD4CDC" w14:textId="77777777" w:rsidR="00E9324B" w:rsidRDefault="00E9324B" w:rsidP="00E9324B"/>
    <w:tbl>
      <w:tblPr>
        <w:tblpPr w:leftFromText="180" w:rightFromText="180" w:vertAnchor="text" w:tblpY="-66"/>
        <w:tblW w:w="9391" w:type="dxa"/>
        <w:tblLook w:val="04A0" w:firstRow="1" w:lastRow="0" w:firstColumn="1" w:lastColumn="0" w:noHBand="0" w:noVBand="1"/>
      </w:tblPr>
      <w:tblGrid>
        <w:gridCol w:w="9509"/>
      </w:tblGrid>
      <w:tr w:rsidR="00E9324B" w14:paraId="33BFA7A5" w14:textId="77777777" w:rsidTr="00E9324B">
        <w:trPr>
          <w:trHeight w:val="284"/>
        </w:trPr>
        <w:tc>
          <w:tcPr>
            <w:tcW w:w="9391" w:type="dxa"/>
          </w:tcPr>
          <w:p w14:paraId="7CA7283D" w14:textId="77777777" w:rsidR="00E9324B" w:rsidRPr="00134023" w:rsidRDefault="00E9324B" w:rsidP="00E9324B">
            <w:pPr>
              <w:pStyle w:val="H1"/>
              <w:rPr>
                <w:sz w:val="98"/>
                <w:szCs w:val="98"/>
              </w:rPr>
            </w:pPr>
            <w:r>
              <w:rPr>
                <w:sz w:val="98"/>
                <w:szCs w:val="98"/>
              </w:rPr>
              <w:fldChar w:fldCharType="begin">
                <w:ffData>
                  <w:name w:val=""/>
                  <w:enabled/>
                  <w:calcOnExit w:val="0"/>
                  <w:textInput>
                    <w:default w:val="Beleid kostenvergoedingen"/>
                  </w:textInput>
                </w:ffData>
              </w:fldChar>
            </w:r>
            <w:r>
              <w:rPr>
                <w:sz w:val="98"/>
                <w:szCs w:val="98"/>
              </w:rPr>
              <w:instrText xml:space="preserve"> FORMTEXT </w:instrText>
            </w:r>
            <w:r>
              <w:rPr>
                <w:sz w:val="98"/>
                <w:szCs w:val="98"/>
              </w:rPr>
            </w:r>
            <w:r>
              <w:rPr>
                <w:sz w:val="98"/>
                <w:szCs w:val="98"/>
              </w:rPr>
              <w:fldChar w:fldCharType="separate"/>
            </w:r>
            <w:r>
              <w:rPr>
                <w:noProof/>
                <w:sz w:val="98"/>
                <w:szCs w:val="98"/>
              </w:rPr>
              <w:t>Beleid kostenvergoedingen</w:t>
            </w:r>
            <w:r>
              <w:rPr>
                <w:sz w:val="98"/>
                <w:szCs w:val="98"/>
              </w:rPr>
              <w:fldChar w:fldCharType="end"/>
            </w:r>
          </w:p>
        </w:tc>
      </w:tr>
      <w:tr w:rsidR="00E9324B" w14:paraId="40A27BC8" w14:textId="77777777" w:rsidTr="00E9324B">
        <w:trPr>
          <w:trHeight w:val="525"/>
        </w:trPr>
        <w:tc>
          <w:tcPr>
            <w:tcW w:w="9391" w:type="dxa"/>
          </w:tcPr>
          <w:p w14:paraId="5A8F259A" w14:textId="22DB56AA" w:rsidR="00E9324B" w:rsidRPr="00134023" w:rsidRDefault="00FA5BFD" w:rsidP="00E9324B">
            <w:pPr>
              <w:pStyle w:val="H1"/>
              <w:rPr>
                <w:rFonts w:ascii="Figtree Medium" w:hAnsi="Figtree Medium"/>
                <w:b w:val="0"/>
                <w:color w:val="170C3A"/>
                <w:sz w:val="54"/>
                <w:szCs w:val="54"/>
              </w:rPr>
            </w:pPr>
            <w:r>
              <w:rPr>
                <w:rFonts w:ascii="Figtree Medium" w:hAnsi="Figtree Medium"/>
                <w:b w:val="0"/>
                <w:color w:val="170C3A"/>
                <w:sz w:val="54"/>
                <w:szCs w:val="54"/>
              </w:rPr>
              <w:fldChar w:fldCharType="begin">
                <w:ffData>
                  <w:name w:val=""/>
                  <w:enabled/>
                  <w:calcOnExit w:val="0"/>
                  <w:textInput/>
                </w:ffData>
              </w:fldChar>
            </w:r>
            <w:r>
              <w:rPr>
                <w:rFonts w:ascii="Figtree Medium" w:hAnsi="Figtree Medium"/>
                <w:b w:val="0"/>
                <w:color w:val="170C3A"/>
                <w:sz w:val="54"/>
                <w:szCs w:val="54"/>
              </w:rPr>
              <w:instrText xml:space="preserve"> FORMTEXT </w:instrText>
            </w:r>
            <w:r>
              <w:rPr>
                <w:rFonts w:ascii="Figtree Medium" w:hAnsi="Figtree Medium"/>
                <w:b w:val="0"/>
                <w:color w:val="170C3A"/>
                <w:sz w:val="54"/>
                <w:szCs w:val="54"/>
              </w:rPr>
            </w:r>
            <w:r>
              <w:rPr>
                <w:rFonts w:ascii="Figtree Medium" w:hAnsi="Figtree Medium"/>
                <w:b w:val="0"/>
                <w:color w:val="170C3A"/>
                <w:sz w:val="54"/>
                <w:szCs w:val="54"/>
              </w:rPr>
              <w:fldChar w:fldCharType="separate"/>
            </w:r>
            <w:r>
              <w:rPr>
                <w:rFonts w:ascii="Figtree Medium" w:hAnsi="Figtree Medium"/>
                <w:b w:val="0"/>
                <w:noProof/>
                <w:color w:val="170C3A"/>
                <w:sz w:val="54"/>
                <w:szCs w:val="54"/>
              </w:rPr>
              <w:t> </w:t>
            </w:r>
            <w:r>
              <w:rPr>
                <w:rFonts w:ascii="Figtree Medium" w:hAnsi="Figtree Medium"/>
                <w:b w:val="0"/>
                <w:noProof/>
                <w:color w:val="170C3A"/>
                <w:sz w:val="54"/>
                <w:szCs w:val="54"/>
              </w:rPr>
              <w:t> </w:t>
            </w:r>
            <w:r>
              <w:rPr>
                <w:rFonts w:ascii="Figtree Medium" w:hAnsi="Figtree Medium"/>
                <w:b w:val="0"/>
                <w:noProof/>
                <w:color w:val="170C3A"/>
                <w:sz w:val="54"/>
                <w:szCs w:val="54"/>
              </w:rPr>
              <w:t> </w:t>
            </w:r>
            <w:r>
              <w:rPr>
                <w:rFonts w:ascii="Figtree Medium" w:hAnsi="Figtree Medium"/>
                <w:b w:val="0"/>
                <w:noProof/>
                <w:color w:val="170C3A"/>
                <w:sz w:val="54"/>
                <w:szCs w:val="54"/>
              </w:rPr>
              <w:t> </w:t>
            </w:r>
            <w:r>
              <w:rPr>
                <w:rFonts w:ascii="Figtree Medium" w:hAnsi="Figtree Medium"/>
                <w:b w:val="0"/>
                <w:noProof/>
                <w:color w:val="170C3A"/>
                <w:sz w:val="54"/>
                <w:szCs w:val="54"/>
              </w:rPr>
              <w:t> </w:t>
            </w:r>
            <w:r>
              <w:rPr>
                <w:rFonts w:ascii="Figtree Medium" w:hAnsi="Figtree Medium"/>
                <w:b w:val="0"/>
                <w:color w:val="170C3A"/>
                <w:sz w:val="54"/>
                <w:szCs w:val="54"/>
              </w:rPr>
              <w:fldChar w:fldCharType="end"/>
            </w:r>
          </w:p>
        </w:tc>
      </w:tr>
    </w:tbl>
    <w:p w14:paraId="7D0A5901" w14:textId="77777777" w:rsidR="00E9324B" w:rsidRDefault="00E9324B" w:rsidP="00E9324B"/>
    <w:p w14:paraId="1A6DF7F1" w14:textId="37A14FAA" w:rsidR="00E9324B" w:rsidRDefault="004E41B3" w:rsidP="00E9324B">
      <w:r>
        <w:fldChar w:fldCharType="begin">
          <w:ffData>
            <w:name w:val=""/>
            <w:enabled/>
            <w:calcOnExit w:val="0"/>
            <w:textInput>
              <w:default w:val="[[[[[[[[[[[[[[[[[[[[[[[[[[[[[[model]]]]]]]]]]]]]]]]]"/>
            </w:textInput>
          </w:ffData>
        </w:fldChar>
      </w:r>
      <w:r>
        <w:instrText xml:space="preserve"> FORMTEXT </w:instrText>
      </w:r>
      <w:r>
        <w:fldChar w:fldCharType="separate"/>
      </w:r>
      <w:r>
        <w:rPr>
          <w:noProof/>
        </w:rPr>
        <w:t>[[[[[[[[[[[[[[[[[[[[[[[[[[[[[[model]]]]]]]]]]]]]]]]]</w:t>
      </w:r>
      <w:r>
        <w:fldChar w:fldCharType="end"/>
      </w:r>
    </w:p>
    <w:p w14:paraId="60C608EE" w14:textId="77777777" w:rsidR="00E9324B" w:rsidRDefault="00E9324B" w:rsidP="00E9324B"/>
    <w:p w14:paraId="4193F630" w14:textId="77777777" w:rsidR="00E9324B" w:rsidRDefault="00E9324B" w:rsidP="00E9324B"/>
    <w:tbl>
      <w:tblPr>
        <w:tblW w:w="0" w:type="auto"/>
        <w:tblLook w:val="04A0" w:firstRow="1" w:lastRow="0" w:firstColumn="1" w:lastColumn="0" w:noHBand="0" w:noVBand="1"/>
      </w:tblPr>
      <w:tblGrid>
        <w:gridCol w:w="7360"/>
      </w:tblGrid>
      <w:tr w:rsidR="00E9324B" w14:paraId="30276AD1" w14:textId="77777777" w:rsidTr="007D54A9">
        <w:tc>
          <w:tcPr>
            <w:tcW w:w="7360" w:type="dxa"/>
          </w:tcPr>
          <w:p w14:paraId="64587257" w14:textId="60036B69" w:rsidR="00E9324B" w:rsidRPr="00C66C74" w:rsidRDefault="00E9324B" w:rsidP="007D54A9">
            <w:pPr>
              <w:pStyle w:val="H1"/>
            </w:pPr>
            <w:r>
              <w:t>Versie:</w:t>
            </w:r>
          </w:p>
        </w:tc>
      </w:tr>
      <w:tr w:rsidR="00E9324B" w14:paraId="06BDAA87" w14:textId="77777777" w:rsidTr="007D54A9">
        <w:tc>
          <w:tcPr>
            <w:tcW w:w="7360" w:type="dxa"/>
          </w:tcPr>
          <w:p w14:paraId="1C346F43" w14:textId="77777777" w:rsidR="00E9324B" w:rsidRDefault="00E9324B" w:rsidP="007D54A9">
            <w:r>
              <w:fldChar w:fldCharType="begin">
                <w:ffData>
                  <w:name w:val=""/>
                  <w:enabled/>
                  <w:calcOnExit w:val="0"/>
                  <w:textInput>
                    <w:default w:val="maart 2026"/>
                  </w:textInput>
                </w:ffData>
              </w:fldChar>
            </w:r>
            <w:r>
              <w:instrText xml:space="preserve"> FORMTEXT </w:instrText>
            </w:r>
            <w:r>
              <w:fldChar w:fldCharType="separate"/>
            </w:r>
            <w:r>
              <w:rPr>
                <w:noProof/>
              </w:rPr>
              <w:t>maart 2026</w:t>
            </w:r>
            <w:r>
              <w:fldChar w:fldCharType="end"/>
            </w:r>
          </w:p>
          <w:p w14:paraId="7E13D9AC" w14:textId="77777777" w:rsidR="00FA5BFD" w:rsidRDefault="00FA5BFD" w:rsidP="007D54A9"/>
          <w:p w14:paraId="2CC68BC1" w14:textId="77777777" w:rsidR="00FA5BFD" w:rsidRDefault="00FA5BFD" w:rsidP="007D54A9"/>
          <w:p w14:paraId="7339AD63" w14:textId="1D253650" w:rsidR="00FA5BFD" w:rsidRPr="00C66C74" w:rsidRDefault="00FA5BFD" w:rsidP="007D54A9"/>
        </w:tc>
      </w:tr>
    </w:tbl>
    <w:p w14:paraId="35439E63" w14:textId="77777777" w:rsidR="00E9324B" w:rsidRDefault="00E9324B" w:rsidP="00E9324B"/>
    <w:p w14:paraId="1FA936AB" w14:textId="77777777" w:rsidR="00E9324B" w:rsidRDefault="00E9324B" w:rsidP="00E9324B"/>
    <w:p w14:paraId="39A3000F" w14:textId="77777777" w:rsidR="00E9324B" w:rsidRDefault="00E9324B" w:rsidP="00E9324B"/>
    <w:p w14:paraId="3D46134B" w14:textId="77777777" w:rsidR="00E9324B" w:rsidRDefault="00E9324B" w:rsidP="00E9324B"/>
    <w:p w14:paraId="445F07E7" w14:textId="77777777" w:rsidR="00E9324B" w:rsidRDefault="00E9324B" w:rsidP="00E9324B"/>
    <w:p w14:paraId="0CBEF2BA" w14:textId="77777777" w:rsidR="00E9324B" w:rsidRDefault="00E9324B" w:rsidP="00E9324B"/>
    <w:p w14:paraId="404C7400" w14:textId="77777777" w:rsidR="00E9324B" w:rsidRDefault="00E9324B">
      <w:pPr>
        <w:rPr>
          <w:rFonts w:cs="Arial"/>
          <w:b/>
          <w:kern w:val="0"/>
          <w:sz w:val="38"/>
          <w:szCs w:val="18"/>
        </w:rPr>
      </w:pPr>
      <w:r>
        <w:br w:type="page"/>
      </w:r>
    </w:p>
    <w:p w14:paraId="417056F7" w14:textId="77777777" w:rsidR="0056327F" w:rsidRDefault="0056327F" w:rsidP="0056327F">
      <w:pPr>
        <w:pStyle w:val="H2"/>
      </w:pPr>
      <w:r w:rsidRPr="00B30A00">
        <w:lastRenderedPageBreak/>
        <w:t>Inhoud</w:t>
      </w:r>
      <w:r>
        <w:t>:</w:t>
      </w:r>
    </w:p>
    <w:p w14:paraId="0DC520D1" w14:textId="77777777" w:rsidR="0056327F" w:rsidRDefault="0056327F" w:rsidP="0056327F">
      <w:pPr>
        <w:pStyle w:val="H3"/>
      </w:pPr>
    </w:p>
    <w:p w14:paraId="5E88B8A8" w14:textId="77777777" w:rsidR="0056327F" w:rsidRPr="0079420D" w:rsidRDefault="0056327F" w:rsidP="0056327F">
      <w:pPr>
        <w:rPr>
          <w:b/>
          <w:bCs/>
        </w:rPr>
      </w:pPr>
      <w:r w:rsidRPr="0079420D">
        <w:rPr>
          <w:b/>
          <w:bCs/>
        </w:rPr>
        <w:t>Inleiding</w:t>
      </w:r>
    </w:p>
    <w:p w14:paraId="3E20F0DA" w14:textId="77777777" w:rsidR="0056327F" w:rsidRDefault="0056327F" w:rsidP="0056327F"/>
    <w:p w14:paraId="10C4C3A6" w14:textId="77777777" w:rsidR="0056327F" w:rsidRPr="0079420D" w:rsidRDefault="0056327F" w:rsidP="0056327F">
      <w:pPr>
        <w:pStyle w:val="Opsomming"/>
        <w:numPr>
          <w:ilvl w:val="0"/>
          <w:numId w:val="38"/>
        </w:numPr>
        <w:rPr>
          <w:b/>
          <w:bCs/>
        </w:rPr>
      </w:pPr>
      <w:r w:rsidRPr="0079420D">
        <w:rPr>
          <w:b/>
          <w:bCs/>
        </w:rPr>
        <w:t>Kostenvergoedingen</w:t>
      </w:r>
    </w:p>
    <w:p w14:paraId="679272B9" w14:textId="77777777" w:rsidR="0056327F" w:rsidRPr="0079420D" w:rsidRDefault="0056327F" w:rsidP="0056327F">
      <w:pPr>
        <w:pStyle w:val="Opsomming"/>
        <w:numPr>
          <w:ilvl w:val="0"/>
          <w:numId w:val="38"/>
        </w:numPr>
        <w:rPr>
          <w:b/>
          <w:bCs/>
        </w:rPr>
      </w:pPr>
      <w:r w:rsidRPr="0079420D">
        <w:rPr>
          <w:b/>
          <w:bCs/>
        </w:rPr>
        <w:t xml:space="preserve">Uitruil arbeidsvoorwaarden en vergoedingen </w:t>
      </w:r>
    </w:p>
    <w:p w14:paraId="7847FE9E" w14:textId="77777777" w:rsidR="0056327F" w:rsidRPr="0079420D" w:rsidRDefault="0056327F" w:rsidP="0056327F">
      <w:pPr>
        <w:pStyle w:val="Opsomming"/>
        <w:numPr>
          <w:ilvl w:val="0"/>
          <w:numId w:val="38"/>
        </w:numPr>
        <w:rPr>
          <w:b/>
          <w:bCs/>
        </w:rPr>
      </w:pPr>
      <w:r w:rsidRPr="0079420D">
        <w:rPr>
          <w:b/>
          <w:bCs/>
        </w:rPr>
        <w:t>Fiscaliteit verstrekking kostenvergoedingen en WKR</w:t>
      </w:r>
    </w:p>
    <w:p w14:paraId="7CFFE450" w14:textId="77777777" w:rsidR="0056327F" w:rsidRDefault="0056327F" w:rsidP="0056327F"/>
    <w:p w14:paraId="7FE6C712" w14:textId="77777777" w:rsidR="0056327F" w:rsidRPr="0079420D" w:rsidRDefault="0056327F" w:rsidP="0056327F">
      <w:pPr>
        <w:rPr>
          <w:b/>
          <w:bCs/>
        </w:rPr>
      </w:pPr>
      <w:r w:rsidRPr="0079420D">
        <w:rPr>
          <w:b/>
          <w:bCs/>
        </w:rPr>
        <w:t>Bijlagen</w:t>
      </w:r>
    </w:p>
    <w:p w14:paraId="5370010A" w14:textId="77777777" w:rsidR="0056327F" w:rsidRDefault="0056327F" w:rsidP="0056327F">
      <w:r>
        <w:br w:type="page"/>
      </w:r>
    </w:p>
    <w:p w14:paraId="0AE4AE15" w14:textId="77777777" w:rsidR="0056327F" w:rsidRDefault="0056327F" w:rsidP="0056327F">
      <w:pPr>
        <w:pStyle w:val="H2"/>
      </w:pPr>
      <w:r>
        <w:lastRenderedPageBreak/>
        <w:t>Inleiding</w:t>
      </w:r>
    </w:p>
    <w:p w14:paraId="01F7201E" w14:textId="77777777" w:rsidR="0056327F" w:rsidRPr="00B701FE" w:rsidRDefault="0056327F" w:rsidP="0056327F">
      <w:r w:rsidRPr="00B701FE">
        <w:t>Deze beleidsregeling omvat een overzicht van de verschillende kostenvergoedingsfaciliteiten die binnen onze school van kracht zijn. Sommige vergoedingsregelingen hebben hun grondslag in de CAO PO, andere kostenvergoedingsregelingen zijn binnen onze school met instemming van de personeelsgeleding van de medezeggenschapsraad tot stand gebracht.</w:t>
      </w:r>
    </w:p>
    <w:p w14:paraId="0097D321" w14:textId="77777777" w:rsidR="0056327F" w:rsidRPr="00B701FE" w:rsidRDefault="0056327F" w:rsidP="0056327F"/>
    <w:p w14:paraId="5B8B3D41" w14:textId="77777777" w:rsidR="0056327F" w:rsidRPr="00B701FE" w:rsidRDefault="0056327F" w:rsidP="0056327F">
      <w:r w:rsidRPr="00B701FE">
        <w:t xml:space="preserve">In hoofdstuk 1 worden de verschillende kostenvergoedingsregeling, gerangschikt naar onderwerp, weergegeven. Dit maakt duidelijk op welke kostenvergoedingen werknemers in onze school een beroep kunnen doen. In hoofdstuk 2 wordt ingegaan op de uitruil van arbeidsvoorwaarden teneinde daarmee fiscaal voordeel te genieten (cafetariaregeling). Hoofdstuk 3 geeft inzicht in de fiscale aspecten van de betreffende vergoedingsregelingen. De fiscale Werkkostenregeling (WKR) speelt hierbij een belangrijke rol. Dit hoofdstuk is met name relevant voor de werkgever. Ook wordt hierbij ingegaan op de fiscale aspecten van vergoedingen anders dan kostenvergoedingen. </w:t>
      </w:r>
    </w:p>
    <w:p w14:paraId="07B9D428" w14:textId="77777777" w:rsidR="0056327F" w:rsidRPr="00B701FE" w:rsidRDefault="0056327F" w:rsidP="0056327F"/>
    <w:p w14:paraId="7F0CB854" w14:textId="77777777" w:rsidR="0056327F" w:rsidRDefault="0056327F" w:rsidP="0056327F">
      <w:r w:rsidRPr="00B701FE">
        <w:t>Dit beleid is tot stand gekomen met instemming van de medezeggenschapraad. Bij aanpassing van de fiscale wetgeving of voor dit beleid relevante bepalingen in de CAO PO behoudt de werkgever zich het recht voor om het vastgestelde beleid te herzien.</w:t>
      </w:r>
    </w:p>
    <w:p w14:paraId="26085864" w14:textId="77777777" w:rsidR="0056327F" w:rsidRDefault="0056327F" w:rsidP="0056327F">
      <w:r>
        <w:br w:type="page"/>
      </w:r>
    </w:p>
    <w:p w14:paraId="2933C122" w14:textId="77777777" w:rsidR="0056327F" w:rsidRDefault="0056327F" w:rsidP="0056327F">
      <w:pPr>
        <w:pStyle w:val="H2"/>
      </w:pPr>
      <w:r>
        <w:lastRenderedPageBreak/>
        <w:t xml:space="preserve">1. </w:t>
      </w:r>
      <w:r w:rsidRPr="00AE6AB0">
        <w:t>Kostenvergoedingen voor werknemers</w:t>
      </w:r>
    </w:p>
    <w:p w14:paraId="4184EFCC" w14:textId="77777777" w:rsidR="0056327F" w:rsidRDefault="0056327F" w:rsidP="0056327F">
      <w:pPr>
        <w:pStyle w:val="H3"/>
      </w:pPr>
    </w:p>
    <w:p w14:paraId="23F032AA" w14:textId="77777777" w:rsidR="0056327F" w:rsidRDefault="0056327F" w:rsidP="0056327F">
      <w:pPr>
        <w:pStyle w:val="H3"/>
      </w:pPr>
      <w:r w:rsidRPr="00AE6AB0">
        <w:t>Vervoer</w:t>
      </w:r>
    </w:p>
    <w:p w14:paraId="50D45728" w14:textId="77777777" w:rsidR="0056327F" w:rsidRDefault="0056327F" w:rsidP="0056327F">
      <w:pPr>
        <w:pStyle w:val="H3"/>
      </w:pPr>
    </w:p>
    <w:p w14:paraId="7D208A98" w14:textId="77777777" w:rsidR="0056327F" w:rsidRDefault="0056327F" w:rsidP="0056327F">
      <w:pPr>
        <w:pStyle w:val="H4"/>
        <w:numPr>
          <w:ilvl w:val="1"/>
          <w:numId w:val="37"/>
        </w:numPr>
      </w:pPr>
      <w:r w:rsidRPr="00B30B28">
        <w:t>Vergoeding dienstreizen</w:t>
      </w:r>
    </w:p>
    <w:p w14:paraId="6471ED17" w14:textId="77777777" w:rsidR="0056327F" w:rsidRDefault="0056327F" w:rsidP="0056327F"/>
    <w:p w14:paraId="01A17F93" w14:textId="77777777" w:rsidR="0056327F" w:rsidRDefault="0056327F" w:rsidP="0056327F">
      <w:r w:rsidRPr="00B30B28">
        <w:t xml:space="preserve">Werkgever verstrekt bij dienstreizen met een eigen vervoermiddel </w:t>
      </w:r>
      <w:r w:rsidRPr="00B81375">
        <w:rPr>
          <w:highlight w:val="yellow"/>
        </w:rPr>
        <w:t>€ 0,28</w:t>
      </w:r>
      <w:r w:rsidRPr="00B30B28">
        <w:t xml:space="preserve"> </w:t>
      </w:r>
      <w:r w:rsidRPr="00B81375">
        <w:rPr>
          <w:highlight w:val="yellow"/>
        </w:rPr>
        <w:t>netto per</w:t>
      </w:r>
      <w:r w:rsidRPr="00B30B28">
        <w:t xml:space="preserve"> afgelegde kilometer. Werknemer kan deze kilometers niet laten verrekenen bij de cafetariaregeling woon-werkverkeer.</w:t>
      </w:r>
    </w:p>
    <w:p w14:paraId="2BA7D351" w14:textId="77777777" w:rsidR="0056327F" w:rsidRDefault="0056327F" w:rsidP="0056327F"/>
    <w:p w14:paraId="606284A5" w14:textId="77777777" w:rsidR="0056327F" w:rsidRDefault="0056327F" w:rsidP="0056327F">
      <w:r w:rsidRPr="00B30B28">
        <w:t>Onder dienstreizen worden gerekend:</w:t>
      </w:r>
    </w:p>
    <w:p w14:paraId="3E879874" w14:textId="77777777" w:rsidR="0056327F" w:rsidRDefault="0056327F" w:rsidP="0056327F">
      <w:pPr>
        <w:pStyle w:val="Opsomming"/>
      </w:pPr>
      <w:r>
        <w:t>Zakelijke dienstreizen vanaf het schooladres, bijvoorbeeld ten behoeve van ouderbezoeken;</w:t>
      </w:r>
    </w:p>
    <w:p w14:paraId="72F06883" w14:textId="77777777" w:rsidR="0056327F" w:rsidRDefault="0056327F" w:rsidP="0056327F">
      <w:pPr>
        <w:pStyle w:val="Opsomming"/>
      </w:pPr>
      <w:r>
        <w:t>Zakelijke dienstreizen vanaf het huisadres, voor zover deze het meerdere van de dagelijkse woon-werkverkeer afstand te boven gaan;</w:t>
      </w:r>
    </w:p>
    <w:p w14:paraId="0BE669A5" w14:textId="77777777" w:rsidR="0056327F" w:rsidRDefault="0056327F" w:rsidP="0056327F">
      <w:pPr>
        <w:pStyle w:val="Opsomming"/>
      </w:pPr>
      <w:r>
        <w:t>Reis naar avondactiviteiten van school, mits er geen gebruik wordt gemaakt van de maaltijdvergoeding;</w:t>
      </w:r>
    </w:p>
    <w:p w14:paraId="216FA2C1" w14:textId="77777777" w:rsidR="0056327F" w:rsidRDefault="0056327F" w:rsidP="0056327F">
      <w:pPr>
        <w:pStyle w:val="Opsomming"/>
      </w:pPr>
      <w:r>
        <w:t>Reiskosten in verband met collectieve (</w:t>
      </w:r>
      <w:proofErr w:type="spellStart"/>
      <w:r>
        <w:t>scholings</w:t>
      </w:r>
      <w:proofErr w:type="spellEnd"/>
      <w:r>
        <w:t>)bijeenkomsten op een externe locatie;</w:t>
      </w:r>
    </w:p>
    <w:p w14:paraId="52C38859" w14:textId="77777777" w:rsidR="0056327F" w:rsidRDefault="0056327F" w:rsidP="0056327F">
      <w:pPr>
        <w:pStyle w:val="Opsomming"/>
      </w:pPr>
      <w:r>
        <w:t>Reiskosten in verband met individuele scholing op een externe locatie (mits hierover geen afspraken zijn gemaakt in een individuele studieovereenkomst).</w:t>
      </w:r>
    </w:p>
    <w:p w14:paraId="3252AE0D" w14:textId="77777777" w:rsidR="0056327F" w:rsidRDefault="0056327F" w:rsidP="0056327F">
      <w:pPr>
        <w:pStyle w:val="Opsomming"/>
        <w:numPr>
          <w:ilvl w:val="0"/>
          <w:numId w:val="0"/>
        </w:numPr>
        <w:ind w:left="340" w:hanging="340"/>
      </w:pPr>
    </w:p>
    <w:p w14:paraId="28EBFBE5" w14:textId="77777777" w:rsidR="0056327F" w:rsidRDefault="0056327F" w:rsidP="0056327F">
      <w:r w:rsidRPr="00B30B28">
        <w:t xml:space="preserve">Werkgever geeft vergoedt alle door personeel gemaakte parkeer-, tol- en pontkosten netto. Werknemer dient deze via </w:t>
      </w:r>
      <w:proofErr w:type="spellStart"/>
      <w:r w:rsidRPr="00B30B28">
        <w:t>YouForce</w:t>
      </w:r>
      <w:proofErr w:type="spellEnd"/>
      <w:r w:rsidRPr="00B30B28">
        <w:t xml:space="preserve"> te declareren bij werkgever onder overlegging van betaalbewijzen.</w:t>
      </w:r>
    </w:p>
    <w:p w14:paraId="002B4B80" w14:textId="77777777" w:rsidR="0056327F" w:rsidRDefault="0056327F" w:rsidP="0056327F"/>
    <w:p w14:paraId="17FC0FAC" w14:textId="77777777" w:rsidR="0056327F" w:rsidRDefault="0056327F" w:rsidP="0056327F">
      <w:pPr>
        <w:pStyle w:val="H4"/>
        <w:numPr>
          <w:ilvl w:val="1"/>
          <w:numId w:val="37"/>
        </w:numPr>
      </w:pPr>
      <w:r w:rsidRPr="00477DF7">
        <w:t>Vergoeding woon-werkverkeer</w:t>
      </w:r>
    </w:p>
    <w:p w14:paraId="3BF1E65E" w14:textId="77777777" w:rsidR="0056327F" w:rsidRDefault="0056327F" w:rsidP="0056327F">
      <w:r w:rsidRPr="00D17577">
        <w:t>Voor woon-werkverkeer wordt een reiskostenvergoeding uitbetaald die gebaseerd is op de reiskostentabel uit de geldende CAO.</w:t>
      </w:r>
    </w:p>
    <w:p w14:paraId="4A1F84C9" w14:textId="77777777" w:rsidR="0056327F" w:rsidRDefault="0056327F" w:rsidP="0056327F"/>
    <w:p w14:paraId="363600DE" w14:textId="77777777" w:rsidR="0056327F" w:rsidRDefault="0056327F" w:rsidP="0056327F">
      <w:pPr>
        <w:pStyle w:val="H4"/>
        <w:numPr>
          <w:ilvl w:val="1"/>
          <w:numId w:val="37"/>
        </w:numPr>
      </w:pPr>
      <w:r w:rsidRPr="00D17577">
        <w:t>Verhuiskostenvergoeding</w:t>
      </w:r>
    </w:p>
    <w:p w14:paraId="50CC0310" w14:textId="77777777" w:rsidR="0056327F" w:rsidRDefault="0056327F" w:rsidP="0056327F">
      <w:pPr>
        <w:pStyle w:val="Cijferopsomming"/>
      </w:pPr>
      <w:r>
        <w:t>De werknemer die is verhuisd ten behoeve van de uitoefening van zijn functie, ontvangt een tegemoetkoming van de werkgever, indien:</w:t>
      </w:r>
    </w:p>
    <w:p w14:paraId="3D9E626A" w14:textId="77777777" w:rsidR="0056327F" w:rsidRDefault="0056327F" w:rsidP="00EA4659">
      <w:pPr>
        <w:pStyle w:val="Letteropsomming"/>
      </w:pPr>
      <w:r>
        <w:t>Hij is benoemd of aangesteld voor ten minste één jaar en</w:t>
      </w:r>
    </w:p>
    <w:p w14:paraId="0032620A" w14:textId="77777777" w:rsidR="0056327F" w:rsidRDefault="0056327F" w:rsidP="00EA4659">
      <w:pPr>
        <w:pStyle w:val="Letteropsomming"/>
      </w:pPr>
      <w:r>
        <w:t>Hij op een afstand van meer dan 25 kilometer woonde van de plaats van tewerkstelling en zijn nieuwe afstand ten minste 60% minder wordt en</w:t>
      </w:r>
    </w:p>
    <w:p w14:paraId="27E7D1D5" w14:textId="77777777" w:rsidR="0056327F" w:rsidRDefault="0056327F" w:rsidP="00EA4659">
      <w:pPr>
        <w:pStyle w:val="Letteropsomming"/>
      </w:pPr>
      <w:r>
        <w:t>Hij uiterlijk binnen 6 maanden na de verhuizing een verzoek voor tegemoetkoming heeft ingediend</w:t>
      </w:r>
    </w:p>
    <w:p w14:paraId="036994B4" w14:textId="77777777" w:rsidR="0056327F" w:rsidRDefault="0056327F" w:rsidP="0056327F">
      <w:pPr>
        <w:pStyle w:val="Cijferopsomming"/>
      </w:pPr>
      <w:r>
        <w:t>De werknemer heeft aanspraak op de tegemoetkoming indien de in het eerste lid bedoelde verhuizing plaatsvindt binnen 2 jaar na indiensttreding of na overplaatsing.</w:t>
      </w:r>
    </w:p>
    <w:p w14:paraId="047A615C" w14:textId="77777777" w:rsidR="0056327F" w:rsidRDefault="0056327F" w:rsidP="0056327F">
      <w:pPr>
        <w:pStyle w:val="Cijferopsomming"/>
      </w:pPr>
      <w:r>
        <w:t xml:space="preserve">De werknemer is gehouden de ontvangen tegemoetkoming geheel of gedeeltelijk terug te betalen, indien het dienstverband, voor bepaalde of onbepaalde tijd, binnen drie jaar na toekenning van de </w:t>
      </w:r>
      <w:r>
        <w:lastRenderedPageBreak/>
        <w:t>verhuiskostenvergoeding wordt beëindigd, hetzij op eigen verzoek ofwel als gevolg van aan hem te wijten feiten of omstandigheden.</w:t>
      </w:r>
    </w:p>
    <w:p w14:paraId="65F5C117" w14:textId="77777777" w:rsidR="0056327F" w:rsidRDefault="0056327F" w:rsidP="0056327F">
      <w:pPr>
        <w:pStyle w:val="Cijferopsomming"/>
      </w:pPr>
      <w:r>
        <w:t>Indien er sprake is van de verplichting tot terugbetaling zoals bepaald in het vorige lid wordt de hoogte van het terug te betalen bedrag bepaald volgens de formule P/36 maal het toegekende bedrag. P is hierbij 36 minus het aantal hele maanden dat ligt tussen toekenning van het bedrag en het moment van beëindiging van het dienstverband.</w:t>
      </w:r>
    </w:p>
    <w:p w14:paraId="1FFD71D0" w14:textId="77777777" w:rsidR="0056327F" w:rsidRDefault="0056327F" w:rsidP="0056327F">
      <w:pPr>
        <w:pStyle w:val="Cijferopsomming"/>
      </w:pPr>
      <w:r w:rsidRPr="0001229D">
        <w:t>De tegemoetkoming in de verhuiskosten omvat</w:t>
      </w:r>
      <w:r>
        <w:t>:</w:t>
      </w:r>
    </w:p>
    <w:p w14:paraId="590405F6" w14:textId="77777777" w:rsidR="0056327F" w:rsidRPr="0001229D" w:rsidRDefault="0056327F" w:rsidP="00EA4659">
      <w:pPr>
        <w:pStyle w:val="Letteropsomming"/>
      </w:pPr>
      <w:r>
        <w:t>E</w:t>
      </w:r>
      <w:r w:rsidRPr="0001229D">
        <w:t xml:space="preserve">en tegemoetkoming in de gemaakte kosten van transport van de inboedel van de werknemer en zijn gezinsleden naar de nieuwe woning, waaronder begrepen de kosten van het in- en uitpakken van breekbare zaken en in de te maken reiskosten ter bezichtiging van woonruimte en in de eventuele opknapkosten aan de nieuwe woning en dubbele woonkosten, van in totaal een bedrag van maximaal € 2.200,-; </w:t>
      </w:r>
    </w:p>
    <w:p w14:paraId="0A65A090" w14:textId="77777777" w:rsidR="0056327F" w:rsidRDefault="0056327F" w:rsidP="00EA4659">
      <w:pPr>
        <w:pStyle w:val="Letteropsomming"/>
      </w:pPr>
      <w:r>
        <w:t>E</w:t>
      </w:r>
      <w:r w:rsidRPr="0001229D">
        <w:t xml:space="preserve">en forfaitaire tegemoetkoming voor alle andere direct uit de verhuizing voortvloeiende kosten vastgesteld op </w:t>
      </w:r>
      <w:r w:rsidRPr="00B81375">
        <w:rPr>
          <w:highlight w:val="yellow"/>
        </w:rPr>
        <w:t>12%</w:t>
      </w:r>
      <w:r w:rsidRPr="0001229D">
        <w:t xml:space="preserve"> van het jaarsalaris, met een minimum van € 1.800,- en een maximum van € 5.500,-.</w:t>
      </w:r>
    </w:p>
    <w:p w14:paraId="77CD60E4" w14:textId="77777777" w:rsidR="0056327F" w:rsidRDefault="0056327F" w:rsidP="0056327F">
      <w:pPr>
        <w:pStyle w:val="Cijferopsomming"/>
      </w:pPr>
      <w:r>
        <w:t>De werkgever stelt de hoogte van de tegemoetkoming zoals vermeld onder lid 5a, vast op grond van een door de werknemer tezamen met betaalbewijzen ingediende declaratie.</w:t>
      </w:r>
    </w:p>
    <w:p w14:paraId="1D0B0DF5" w14:textId="77777777" w:rsidR="0056327F" w:rsidRDefault="0056327F" w:rsidP="0056327F"/>
    <w:p w14:paraId="4C231EAF" w14:textId="77777777" w:rsidR="0056327F" w:rsidRDefault="0056327F" w:rsidP="0056327F">
      <w:pPr>
        <w:pStyle w:val="H4"/>
        <w:numPr>
          <w:ilvl w:val="1"/>
          <w:numId w:val="37"/>
        </w:numPr>
      </w:pPr>
      <w:r w:rsidRPr="00761C02">
        <w:t>Pensionkosten</w:t>
      </w:r>
    </w:p>
    <w:p w14:paraId="7A5CFFA1" w14:textId="77777777" w:rsidR="0056327F" w:rsidRDefault="0056327F" w:rsidP="0056327F">
      <w:r w:rsidRPr="00761C02">
        <w:t xml:space="preserve">De werknemer die bij een verhuizing in aanmerking zou komen voor een tegemoetkoming in de verhuiskosten en die naar het oordeel van de werkgever niet in de gelegenheid is dagelijks heen en weer te reizen tussen zijn woning en de plaats van tewerkstelling, heeft gedurende het eerste jaar, gerekend vanaf het moment van benoeming of aanstelling, aanspraak op een tegemoetkoming in te maken pension-kosten. Deze tegemoetkoming bedraagt 90% van de werkelijk gemaakte pensionkosten, met een maximum van </w:t>
      </w:r>
      <w:r w:rsidRPr="00097226">
        <w:rPr>
          <w:highlight w:val="yellow"/>
        </w:rPr>
        <w:t>€ 375,-</w:t>
      </w:r>
      <w:r w:rsidRPr="00761C02">
        <w:t xml:space="preserve"> per maand. Daarnaast ontvangt de werknemer een tegemoetkoming in de te maken reiskosten binnen Nederland om éénmaal per week zijn woning te bezoeken.</w:t>
      </w:r>
    </w:p>
    <w:p w14:paraId="5CC7BE72" w14:textId="77777777" w:rsidR="0056327F" w:rsidRDefault="0056327F" w:rsidP="0056327F"/>
    <w:p w14:paraId="75E1F819" w14:textId="77777777" w:rsidR="0056327F" w:rsidRDefault="0056327F" w:rsidP="0056327F">
      <w:pPr>
        <w:pStyle w:val="H3"/>
      </w:pPr>
      <w:r>
        <w:t>Communicatie-ICT</w:t>
      </w:r>
    </w:p>
    <w:p w14:paraId="78F7CB5E" w14:textId="77777777" w:rsidR="0056327F" w:rsidRDefault="0056327F" w:rsidP="0056327F"/>
    <w:p w14:paraId="5541D1C1" w14:textId="77777777" w:rsidR="0056327F" w:rsidRDefault="0056327F" w:rsidP="0056327F">
      <w:pPr>
        <w:pStyle w:val="H4"/>
        <w:numPr>
          <w:ilvl w:val="1"/>
          <w:numId w:val="37"/>
        </w:numPr>
      </w:pPr>
      <w:r w:rsidRPr="00B81375">
        <w:t>Vergoeding communicatiemiddelen</w:t>
      </w:r>
    </w:p>
    <w:p w14:paraId="5918B5A6" w14:textId="77777777" w:rsidR="0056327F" w:rsidRDefault="0056327F" w:rsidP="0056327F">
      <w:r w:rsidRPr="00601B03">
        <w:rPr>
          <w:highlight w:val="yellow"/>
        </w:rPr>
        <w:t>Voor de kosten van het noodzakelijk gebruik van communicatie- en ICT-middelen die eigendom zijn van de werknemer, verstrekt de werkgever een vergoeding van € 10,- per maand. Voorbeelden hiervan zijn kosten voor internetgebruik, computers en mobiele communicatiemiddelen.</w:t>
      </w:r>
    </w:p>
    <w:p w14:paraId="23FD87A9" w14:textId="77777777" w:rsidR="0056327F" w:rsidRDefault="0056327F" w:rsidP="0056327F"/>
    <w:p w14:paraId="504A1684" w14:textId="77777777" w:rsidR="0056327F" w:rsidRDefault="0056327F" w:rsidP="0056327F">
      <w:pPr>
        <w:pStyle w:val="H3"/>
      </w:pPr>
      <w:r>
        <w:t>Overige</w:t>
      </w:r>
    </w:p>
    <w:p w14:paraId="454EA1AA" w14:textId="77777777" w:rsidR="0056327F" w:rsidRPr="00B701FE" w:rsidRDefault="0056327F" w:rsidP="0056327F">
      <w:pPr>
        <w:pStyle w:val="H3"/>
      </w:pPr>
    </w:p>
    <w:p w14:paraId="749CDD2F" w14:textId="77777777" w:rsidR="0056327F" w:rsidRDefault="0056327F" w:rsidP="0056327F">
      <w:pPr>
        <w:pStyle w:val="H4"/>
        <w:numPr>
          <w:ilvl w:val="1"/>
          <w:numId w:val="37"/>
        </w:numPr>
      </w:pPr>
      <w:r w:rsidRPr="007C2406">
        <w:t>Vergoeding Arbovoorzieningen</w:t>
      </w:r>
    </w:p>
    <w:p w14:paraId="40DE3987" w14:textId="77777777" w:rsidR="0056327F" w:rsidRDefault="0056327F" w:rsidP="0056327F">
      <w:r w:rsidRPr="007C2406">
        <w:lastRenderedPageBreak/>
        <w:t xml:space="preserve">Over de vergoedingen van kosten voor </w:t>
      </w:r>
      <w:proofErr w:type="spellStart"/>
      <w:r w:rsidRPr="007C2406">
        <w:t>arbo</w:t>
      </w:r>
      <w:proofErr w:type="spellEnd"/>
      <w:r w:rsidRPr="007C2406">
        <w:t>- c.q. werkplekvoorzieningen worden individuele afspraken gemaakt tussen werkgever en werknemer, hierbij rekening houdend met regelgeving omtrent arbeidsomstandigheden.</w:t>
      </w:r>
    </w:p>
    <w:p w14:paraId="2851C7C9" w14:textId="77777777" w:rsidR="0056327F" w:rsidRDefault="0056327F" w:rsidP="0056327F"/>
    <w:p w14:paraId="646A3865" w14:textId="77777777" w:rsidR="0056327F" w:rsidRDefault="0056327F" w:rsidP="0056327F">
      <w:pPr>
        <w:pStyle w:val="H4"/>
      </w:pPr>
      <w:r w:rsidRPr="002747FA">
        <w:t>1.7 Maaltijden bij avondwerk</w:t>
      </w:r>
    </w:p>
    <w:p w14:paraId="5A025461" w14:textId="77777777" w:rsidR="0056327F" w:rsidRDefault="0056327F" w:rsidP="0056327F">
      <w:r w:rsidRPr="002747FA">
        <w:t>Als een werknemer in de avond verplicht op schoolwerkzaamheden moet verrichten en hij als gevolg daarvan niet thuis kan eten, kan hij voor een maximumbedrag van € 7,50 zijn maaltijd declareren onder overlegging van betaalbewijzen. Er kan geen vergoeding gevraagd worden, indien de werkgever voor de maaltijd zorgt.</w:t>
      </w:r>
    </w:p>
    <w:p w14:paraId="266BF757" w14:textId="77777777" w:rsidR="0056327F" w:rsidRDefault="0056327F" w:rsidP="0056327F"/>
    <w:p w14:paraId="16FC7FE0" w14:textId="77777777" w:rsidR="0056327F" w:rsidRDefault="0056327F" w:rsidP="0056327F">
      <w:pPr>
        <w:pStyle w:val="H3"/>
      </w:pPr>
      <w:r w:rsidRPr="002747FA">
        <w:t>VOG</w:t>
      </w:r>
    </w:p>
    <w:p w14:paraId="6FC281D9" w14:textId="77777777" w:rsidR="0056327F" w:rsidRDefault="0056327F" w:rsidP="0056327F">
      <w:r w:rsidRPr="002747FA">
        <w:t>Werkgever vergoedt aan werknemer de kosten van de aanvraag van een Verklaring omtrent gedrag (VOG).</w:t>
      </w:r>
    </w:p>
    <w:p w14:paraId="13FC5AFE" w14:textId="77777777" w:rsidR="0056327F" w:rsidRDefault="0056327F" w:rsidP="0056327F">
      <w:r>
        <w:br w:type="page"/>
      </w:r>
    </w:p>
    <w:p w14:paraId="533B912C" w14:textId="77777777" w:rsidR="0056327F" w:rsidRDefault="0056327F" w:rsidP="0056327F">
      <w:pPr>
        <w:pStyle w:val="H2"/>
      </w:pPr>
      <w:r w:rsidRPr="002747FA">
        <w:lastRenderedPageBreak/>
        <w:t>2. Uitruil van arbeidsvoorwaarden en vergoedingen</w:t>
      </w:r>
    </w:p>
    <w:p w14:paraId="2F3D2917" w14:textId="77777777" w:rsidR="0056327F" w:rsidRDefault="0056327F" w:rsidP="0056327F">
      <w:r w:rsidRPr="002747FA">
        <w:t>Onder voorwaarden kunnen medewerkers deelnemen aan de cafetariaregeling. Deze regeling houdt in dat bruto looncomponenten worden uitgeruild en uitbetaald als een onbelaste (netto) vergoeding. Deze uitruil heeft effect op het totale brutoloon. Werknemers moeten er rekening mee houden dat zij over het verlaagde loon geen uitkeringsrechten op grond van de sociale verzekeringen en pensioen opbouwen.</w:t>
      </w:r>
    </w:p>
    <w:p w14:paraId="585E249B" w14:textId="77777777" w:rsidR="0056327F" w:rsidRDefault="0056327F" w:rsidP="0056327F"/>
    <w:p w14:paraId="2EAF3290" w14:textId="77777777" w:rsidR="0056327F" w:rsidRDefault="0056327F" w:rsidP="0056327F">
      <w:pPr>
        <w:pStyle w:val="H4"/>
      </w:pPr>
      <w:r w:rsidRPr="002747FA">
        <w:t>2.1 Cafetariaregeling woon-werkverkeer</w:t>
      </w:r>
    </w:p>
    <w:p w14:paraId="12339981" w14:textId="77777777" w:rsidR="0056327F" w:rsidRDefault="0056327F" w:rsidP="0056327F">
      <w:r w:rsidRPr="002747FA">
        <w:t xml:space="preserve">Alle personeelsleden die meer dan </w:t>
      </w:r>
      <w:r w:rsidRPr="002747FA">
        <w:rPr>
          <w:highlight w:val="yellow"/>
        </w:rPr>
        <w:t>drie kilometer</w:t>
      </w:r>
      <w:r w:rsidRPr="002747FA">
        <w:t xml:space="preserve"> van hun werk wonen, kunnen deelnemen aan de cafetariaregeling. Dit betekent dat bruto looncomponenten worden uitgeruild en uitbetaald als een vrijgestelde kostenvergoeding voor woon-werkverkeer, voor zover daartoe voor werknemer fiscale ruimte bestaat. Zodoende kunnen een of meerdere brutolooncomponenten onbelast worden uitbetaald. Zie de Cafetariaregeling bijlage 1 voor de verdere voorwaarden omtrent deelname aan deze cafetariaregeling.</w:t>
      </w:r>
    </w:p>
    <w:p w14:paraId="60949F83" w14:textId="77777777" w:rsidR="0056327F" w:rsidRDefault="0056327F" w:rsidP="0056327F"/>
    <w:p w14:paraId="40B84087" w14:textId="77777777" w:rsidR="0056327F" w:rsidRDefault="0056327F" w:rsidP="0056327F">
      <w:pPr>
        <w:pStyle w:val="H4"/>
      </w:pPr>
      <w:r>
        <w:t>2.3 Verrekening vakbondscontributie</w:t>
      </w:r>
    </w:p>
    <w:p w14:paraId="77905002" w14:textId="77777777" w:rsidR="0056327F" w:rsidRDefault="0056327F" w:rsidP="0056327F">
      <w:r>
        <w:t>Een tweede vorm van uitruil bestaat uit verrekening van de vakbondscontributie met de eindejaarsuitkering. Zodoende wordt een deel van de eindejaarsuitkering betaald als een vergoeding voor de lidmaatschapskosten van de vakbond, zodat de werknemer in feite de contributie financiert met onbelast loon.</w:t>
      </w:r>
    </w:p>
    <w:p w14:paraId="765A5C2D" w14:textId="77777777" w:rsidR="0056327F" w:rsidRDefault="0056327F" w:rsidP="0056327F"/>
    <w:p w14:paraId="038F2981" w14:textId="77777777" w:rsidR="0056327F" w:rsidRDefault="0056327F" w:rsidP="0056327F">
      <w:pPr>
        <w:pStyle w:val="H4"/>
      </w:pPr>
      <w:r>
        <w:t xml:space="preserve">2.3 Deelname fietsprivé-regeling </w:t>
      </w:r>
    </w:p>
    <w:p w14:paraId="2637F6C8" w14:textId="77777777" w:rsidR="0056327F" w:rsidRDefault="0056327F" w:rsidP="0056327F">
      <w:r>
        <w:t xml:space="preserve">Werkgever geeft personeel dat voor minimaal de helft van het aantal werkdagen per jaar op de fiets naar het werk komt de gelegenheid om eens per 3 kalenderjaren deel te nemen aan de fietsprivé regeling. De aanschafwaarde van de (elektrische) fiets (incl. eventuele accessoires en verzekeringen) mag voor </w:t>
      </w:r>
      <w:r w:rsidRPr="00AE6644">
        <w:rPr>
          <w:highlight w:val="yellow"/>
        </w:rPr>
        <w:t>maximaal € 1.500,- verrekend</w:t>
      </w:r>
      <w:r>
        <w:t xml:space="preserve"> worden met bruto looncomponenten. De verrekening met de bruto looncomponenten vindt vanwege fiscale redenen plaats over 3 kalenderjaren. Resultaat van de uitruil is dat de factuur van de fietsaanschaf in feite (deels) wordt betaald met onbelast loon.</w:t>
      </w:r>
    </w:p>
    <w:p w14:paraId="4C0323FB" w14:textId="77777777" w:rsidR="0056327F" w:rsidRDefault="0056327F" w:rsidP="0056327F"/>
    <w:p w14:paraId="2F883F68" w14:textId="77777777" w:rsidR="0056327F" w:rsidRDefault="0056327F" w:rsidP="0056327F">
      <w:pPr>
        <w:pStyle w:val="H4"/>
      </w:pPr>
      <w:r>
        <w:t xml:space="preserve">2.4 Deelname fitregeling </w:t>
      </w:r>
    </w:p>
    <w:p w14:paraId="18F54FDA" w14:textId="77777777" w:rsidR="0056327F" w:rsidRDefault="0056327F" w:rsidP="0056327F">
      <w:r>
        <w:t>Gelet op de huidige besteding en de achtergrond van de bestaande regelingen komen we tot een kleine aanpassing van het te besteden budget binnen de vrije ruimte.  De mogelijkheid om een vakbond contributie uit te ruilen en deelname aan de cafetariaregeling blijven bestaan. De fietsprivé-regeling behouden we. Gezien de wensen voor een bredere toepassing, wordt daarnaast een budget voor de fitregeling in het leven geroepen.</w:t>
      </w:r>
    </w:p>
    <w:p w14:paraId="16051439" w14:textId="77777777" w:rsidR="0056327F" w:rsidRDefault="0056327F" w:rsidP="0056327F"/>
    <w:p w14:paraId="5BE580C2" w14:textId="77777777" w:rsidR="0056327F" w:rsidRDefault="0056327F" w:rsidP="0056327F"/>
    <w:p w14:paraId="0E897935" w14:textId="77777777" w:rsidR="0056327F" w:rsidRDefault="0056327F" w:rsidP="0056327F"/>
    <w:p w14:paraId="4AFB9ADA" w14:textId="77777777" w:rsidR="0056327F" w:rsidRPr="00725CB4" w:rsidRDefault="0056327F" w:rsidP="0056327F">
      <w:pPr>
        <w:pStyle w:val="Intro"/>
      </w:pPr>
      <w:r w:rsidRPr="00725CB4">
        <w:t>Wat is de fitregeling</w:t>
      </w:r>
      <w:r>
        <w:t>?</w:t>
      </w:r>
    </w:p>
    <w:p w14:paraId="31708AAB" w14:textId="77777777" w:rsidR="0056327F" w:rsidRDefault="0056327F" w:rsidP="0056327F">
      <w:r>
        <w:t xml:space="preserve">Elke medewerker krijgt jaarlijks een vast te stellen budget tot zijn/haar beschikking en kan dit besteden via een bruto-netto verrekening. Let op, het betreft dus niet een netto kostenvergoeding. Zie hierna een aantal rekenvoorbeelden. De hoogte van dit budget is afhankelijk van de hoogte van het resterende vrije deel van het WKR-budget van onze school dat jaarlijks gebudgetteerd wordt. Het totale bedrag dat beschikbaar is voor de fitregeling wordt evenredig verdeeld over alle medewerkers ongeacht betrekkingsomvang of inschaling. Voor 2023 is de hoogte van dit individuele budget </w:t>
      </w:r>
      <w:r w:rsidRPr="00AE6644">
        <w:rPr>
          <w:highlight w:val="yellow"/>
        </w:rPr>
        <w:t>€ 150,-.</w:t>
      </w:r>
      <w:r>
        <w:t xml:space="preserve"> </w:t>
      </w:r>
    </w:p>
    <w:p w14:paraId="4584840F" w14:textId="77777777" w:rsidR="0056327F" w:rsidRDefault="0056327F" w:rsidP="0056327F"/>
    <w:p w14:paraId="07CB074C" w14:textId="77777777" w:rsidR="0056327F" w:rsidRDefault="0056327F" w:rsidP="0056327F">
      <w:r>
        <w:t>Dit onderdeel, waarbij we met name als oogmerk hebben dat de activiteiten zullen bijdragen aan duurzaam inzetbaar blijven, is nieuw voor onze organisatie. Om die reden een aantal handvatten en voorbeelden om dit concreter te maken.</w:t>
      </w:r>
    </w:p>
    <w:p w14:paraId="12E3ABE7" w14:textId="77777777" w:rsidR="0056327F" w:rsidRDefault="0056327F" w:rsidP="0056327F"/>
    <w:p w14:paraId="434686B9" w14:textId="77777777" w:rsidR="0056327F" w:rsidRDefault="0056327F" w:rsidP="0056327F">
      <w:pPr>
        <w:pStyle w:val="Intro"/>
      </w:pPr>
      <w:r w:rsidRPr="00D36CA9">
        <w:t>Hoe is de fitregeling te besteden</w:t>
      </w:r>
      <w:r>
        <w:t>?</w:t>
      </w:r>
    </w:p>
    <w:p w14:paraId="03AB3DD4" w14:textId="77777777" w:rsidR="0056327F" w:rsidRPr="00D36CA9" w:rsidRDefault="0056327F" w:rsidP="0056327F">
      <w:r w:rsidRPr="00D36CA9">
        <w:t>Allereerst zijn er mogelijkheden om te investeren in je rol en taak als identiteitsdrager en identificatiefiguur om de christelijke identiteit van onze school uit te blijven dragen naar onze achterban, collega’s en leerlingen. Daarnaast gaat het om bestedingsopties die een impuls geven aan je vitaliteit, je mentale fitheid of die ervoor zorgen dat je aansluiting blijft houden op de arbeidsmarkt. We noemen een aantal voorbeelden, maar vul het vooral in op de manier bij jezelf past.</w:t>
      </w:r>
    </w:p>
    <w:p w14:paraId="5B6FA097" w14:textId="77777777" w:rsidR="0056327F" w:rsidRDefault="0056327F" w:rsidP="0056327F"/>
    <w:p w14:paraId="6470B1FF" w14:textId="77777777" w:rsidR="0056327F" w:rsidRDefault="0056327F" w:rsidP="0056327F">
      <w:pPr>
        <w:pStyle w:val="Opsomming"/>
      </w:pPr>
      <w:r>
        <w:t xml:space="preserve">Cursussen op geloofsgebied, bijv. </w:t>
      </w:r>
    </w:p>
    <w:p w14:paraId="5269681D" w14:textId="77777777" w:rsidR="0056327F" w:rsidRDefault="0056327F" w:rsidP="0056327F">
      <w:pPr>
        <w:pStyle w:val="SubOpsomming-"/>
      </w:pPr>
      <w:hyperlink r:id="rId8" w:history="1">
        <w:r w:rsidRPr="00EE58E4">
          <w:rPr>
            <w:rStyle w:val="Hyperlink"/>
          </w:rPr>
          <w:t>vormingswerk | CGK</w:t>
        </w:r>
      </w:hyperlink>
    </w:p>
    <w:p w14:paraId="30CC10A1" w14:textId="77777777" w:rsidR="0056327F" w:rsidRDefault="0056327F" w:rsidP="0056327F">
      <w:pPr>
        <w:pStyle w:val="SubOpsomming-"/>
      </w:pPr>
      <w:hyperlink r:id="rId9" w:history="1">
        <w:r w:rsidRPr="00EE58E4">
          <w:rPr>
            <w:rStyle w:val="Hyperlink"/>
          </w:rPr>
          <w:t>Toerusting (cgo.nu)</w:t>
        </w:r>
      </w:hyperlink>
    </w:p>
    <w:p w14:paraId="1FA6C024" w14:textId="77777777" w:rsidR="0056327F" w:rsidRDefault="0056327F" w:rsidP="0056327F">
      <w:pPr>
        <w:pStyle w:val="SubOpsomming-"/>
      </w:pPr>
      <w:hyperlink r:id="rId10" w:history="1">
        <w:r w:rsidRPr="00EE58E4">
          <w:rPr>
            <w:rStyle w:val="Hyperlink"/>
          </w:rPr>
          <w:t>Cursus Bijbelse Toerusting - Hersteld Hervormde Kerk</w:t>
        </w:r>
      </w:hyperlink>
    </w:p>
    <w:p w14:paraId="5B25DBC6" w14:textId="77777777" w:rsidR="0056327F" w:rsidRDefault="0056327F" w:rsidP="0056327F">
      <w:pPr>
        <w:pStyle w:val="SubOpsomming-"/>
      </w:pPr>
      <w:hyperlink r:id="rId11" w:history="1">
        <w:r w:rsidRPr="00EE58E4">
          <w:rPr>
            <w:rStyle w:val="Hyperlink"/>
          </w:rPr>
          <w:t>Sleutel tot de Nadere Reformatie (pietasonline.nl)</w:t>
        </w:r>
      </w:hyperlink>
      <w:r>
        <w:t xml:space="preserve"> </w:t>
      </w:r>
    </w:p>
    <w:p w14:paraId="566D2BB2" w14:textId="77777777" w:rsidR="0056327F" w:rsidRDefault="0056327F" w:rsidP="0056327F">
      <w:pPr>
        <w:pStyle w:val="Opsomming"/>
      </w:pPr>
      <w:r>
        <w:t>Aanschaf sport-, fiets- of wandelartikelen, los van de onder 2.3 genoemde fietsregeling</w:t>
      </w:r>
    </w:p>
    <w:p w14:paraId="353233AA" w14:textId="77777777" w:rsidR="0056327F" w:rsidRDefault="0056327F" w:rsidP="0056327F">
      <w:pPr>
        <w:pStyle w:val="Opsomming"/>
      </w:pPr>
      <w:r>
        <w:t xml:space="preserve">Lidmaatschap sportclub </w:t>
      </w:r>
    </w:p>
    <w:p w14:paraId="61F4DF17" w14:textId="77777777" w:rsidR="0056327F" w:rsidRDefault="0056327F" w:rsidP="0056327F">
      <w:pPr>
        <w:pStyle w:val="Opsomming"/>
      </w:pPr>
      <w:r>
        <w:t>Abonnement sportschool</w:t>
      </w:r>
    </w:p>
    <w:p w14:paraId="0A1F697F" w14:textId="77777777" w:rsidR="0056327F" w:rsidRDefault="0056327F" w:rsidP="0056327F">
      <w:pPr>
        <w:pStyle w:val="Opsomming"/>
      </w:pPr>
      <w:r>
        <w:t xml:space="preserve">Cursus stoppen met roken </w:t>
      </w:r>
    </w:p>
    <w:p w14:paraId="721EF571" w14:textId="77777777" w:rsidR="0056327F" w:rsidRDefault="0056327F" w:rsidP="0056327F">
      <w:pPr>
        <w:pStyle w:val="Opsomming"/>
      </w:pPr>
      <w:r>
        <w:t>Cursus gezonde voeding/afvallen</w:t>
      </w:r>
    </w:p>
    <w:p w14:paraId="28BAD4C2" w14:textId="77777777" w:rsidR="0056327F" w:rsidRDefault="0056327F" w:rsidP="0056327F">
      <w:pPr>
        <w:pStyle w:val="Opsomming"/>
      </w:pPr>
      <w:r>
        <w:t>Etc. etc.</w:t>
      </w:r>
    </w:p>
    <w:p w14:paraId="2280CEC0" w14:textId="77777777" w:rsidR="0056327F" w:rsidRDefault="0056327F" w:rsidP="0056327F"/>
    <w:p w14:paraId="42885F09" w14:textId="77777777" w:rsidR="0056327F" w:rsidRDefault="0056327F" w:rsidP="0056327F">
      <w:pPr>
        <w:pStyle w:val="Intro"/>
      </w:pPr>
      <w:r>
        <w:t>Voorwaarden toepassing fitregeling</w:t>
      </w:r>
    </w:p>
    <w:p w14:paraId="04B2BA75" w14:textId="77777777" w:rsidR="0056327F" w:rsidRDefault="0056327F" w:rsidP="0056327F">
      <w:r>
        <w:t>We hebben met elkaar de volgende spelregels afgesproken:</w:t>
      </w:r>
    </w:p>
    <w:p w14:paraId="57A7DA57" w14:textId="77777777" w:rsidR="0056327F" w:rsidRDefault="0056327F" w:rsidP="0056327F">
      <w:pPr>
        <w:pStyle w:val="Opsomming"/>
      </w:pPr>
      <w:r>
        <w:t xml:space="preserve">De medewerker besteedt het bedrag aan activiteiten of materialen die bijdragen aan zijn/haar duurzame inzetbaarheid. </w:t>
      </w:r>
    </w:p>
    <w:p w14:paraId="5D703284" w14:textId="77777777" w:rsidR="0056327F" w:rsidRDefault="0056327F" w:rsidP="0056327F">
      <w:pPr>
        <w:pStyle w:val="Opsomming"/>
      </w:pPr>
      <w:r>
        <w:t>De medewerker voert met instemming van haar/zijn leidinggevende de kosten op in het personeels- en salarissysteem. Let wel: het betreft geen declaratie, maar een verrekening van het fiscale voordeel.</w:t>
      </w:r>
    </w:p>
    <w:p w14:paraId="344ED5E9" w14:textId="77777777" w:rsidR="0056327F" w:rsidRDefault="0056327F" w:rsidP="0056327F">
      <w:pPr>
        <w:pStyle w:val="Opsomming"/>
      </w:pPr>
      <w:r>
        <w:t>Het budget per medewerker wordt per kalenderjaar vastgesteld, onbestede bedragen kunnen niet worden meegenomen naar het daaropvolgende jaar.</w:t>
      </w:r>
    </w:p>
    <w:p w14:paraId="4F710AF5" w14:textId="77777777" w:rsidR="0056327F" w:rsidRDefault="0056327F" w:rsidP="0056327F">
      <w:r>
        <w:lastRenderedPageBreak/>
        <w:br w:type="page"/>
      </w:r>
    </w:p>
    <w:p w14:paraId="3EBE4580" w14:textId="77777777" w:rsidR="0056327F" w:rsidRDefault="0056327F" w:rsidP="0056327F">
      <w:pPr>
        <w:pStyle w:val="H2"/>
      </w:pPr>
      <w:r w:rsidRPr="00C33E37">
        <w:lastRenderedPageBreak/>
        <w:t>3. Fiscaliteit (kosten)vergoedingen en WKR</w:t>
      </w:r>
    </w:p>
    <w:p w14:paraId="247D19F1" w14:textId="77777777" w:rsidR="0056327F" w:rsidRDefault="0056327F" w:rsidP="0056327F">
      <w:pPr>
        <w:pStyle w:val="H2"/>
      </w:pPr>
    </w:p>
    <w:p w14:paraId="6E58EF3D" w14:textId="77777777" w:rsidR="0056327F" w:rsidRDefault="0056327F" w:rsidP="0056327F">
      <w:pPr>
        <w:pStyle w:val="H4"/>
      </w:pPr>
      <w:r w:rsidRPr="00C33E37">
        <w:t>3.1 Afhandeling kostenvergoedingen</w:t>
      </w:r>
    </w:p>
    <w:p w14:paraId="64DEFC4E" w14:textId="77777777" w:rsidR="0056327F" w:rsidRDefault="0056327F" w:rsidP="0056327F">
      <w:r w:rsidRPr="00C33E37">
        <w:t>Binnen fiscale regelgeving is er ruimte gecreëerd om kostenvergoedingen belastingvrij aan medewerkers te verstrekken. In de eerste plaats zijn bepaalde vergoedingen fiscaal vrijgesteld. Dit zijn de zogenoemde gerichte vrijstellingen. Met inachtneming van de inhoud van de kostenregelingen zoals geldend binnen onze school vallen onder deze gerichte vrijstelling de volgende vergoedingen:</w:t>
      </w:r>
    </w:p>
    <w:p w14:paraId="598233FF" w14:textId="77777777" w:rsidR="0056327F" w:rsidRDefault="0056327F" w:rsidP="0056327F">
      <w:pPr>
        <w:pStyle w:val="Opsomming"/>
      </w:pPr>
      <w:r>
        <w:t>Vergoeding woon-werkverkeer, voor zover deze het bedrag van gerichte vrijstelling niet te boven gaat (momenteel € 0,23 per km);*</w:t>
      </w:r>
    </w:p>
    <w:p w14:paraId="73119A8C" w14:textId="77777777" w:rsidR="0056327F" w:rsidRDefault="0056327F" w:rsidP="0056327F">
      <w:pPr>
        <w:pStyle w:val="Opsomming"/>
      </w:pPr>
      <w:r>
        <w:t>Vergoeding dienstreizen tot € 0,23 per km;</w:t>
      </w:r>
    </w:p>
    <w:p w14:paraId="0562CFB2" w14:textId="77777777" w:rsidR="0056327F" w:rsidRDefault="0056327F" w:rsidP="0056327F">
      <w:pPr>
        <w:pStyle w:val="Opsomming"/>
      </w:pPr>
      <w:r>
        <w:t>Vergoeding van de VOG;</w:t>
      </w:r>
    </w:p>
    <w:p w14:paraId="3AC68341" w14:textId="77777777" w:rsidR="0056327F" w:rsidRDefault="0056327F" w:rsidP="0056327F">
      <w:pPr>
        <w:pStyle w:val="Opsomming"/>
      </w:pPr>
      <w:r>
        <w:t xml:space="preserve">Vergoeding van de noodzakelijke kosten voor communicatie- en </w:t>
      </w:r>
      <w:proofErr w:type="spellStart"/>
      <w:r>
        <w:t>ict</w:t>
      </w:r>
      <w:proofErr w:type="spellEnd"/>
      <w:r>
        <w:t>-middelen;</w:t>
      </w:r>
    </w:p>
    <w:p w14:paraId="6CA6392A" w14:textId="77777777" w:rsidR="0056327F" w:rsidRDefault="0056327F" w:rsidP="0056327F">
      <w:pPr>
        <w:pStyle w:val="Opsomming"/>
      </w:pPr>
      <w:r>
        <w:t>Vergoeding van de maaltijdkosten bij avondwerk;</w:t>
      </w:r>
    </w:p>
    <w:p w14:paraId="3FEBF752" w14:textId="77777777" w:rsidR="0056327F" w:rsidRDefault="0056327F" w:rsidP="0056327F">
      <w:pPr>
        <w:pStyle w:val="Opsomming"/>
      </w:pPr>
      <w:r>
        <w:t>Vergoedingen en verstrekkingen die voortvloeien uit de verplichtingen vanuit de Arbeidsomstandighedenwet zijn gericht vrijgesteld, mits de voorziening wordt gebruikt op de (thuis)werkplek.</w:t>
      </w:r>
    </w:p>
    <w:p w14:paraId="5A7BD064" w14:textId="77777777" w:rsidR="0056327F" w:rsidRDefault="0056327F" w:rsidP="0056327F">
      <w:pPr>
        <w:pStyle w:val="Opsomming"/>
        <w:numPr>
          <w:ilvl w:val="0"/>
          <w:numId w:val="0"/>
        </w:numPr>
        <w:ind w:left="340" w:hanging="340"/>
      </w:pPr>
    </w:p>
    <w:p w14:paraId="5AF670BB" w14:textId="77777777" w:rsidR="0056327F" w:rsidRDefault="0056327F" w:rsidP="0056327F">
      <w:r w:rsidRPr="00397684">
        <w:t>Daarnaast is er binnen de fiscale Werkkostenregeling (WKR) een vrije ruimte beschikbaar waarbinnen de werkgever onbelaste vergoedingen aan werknemers mag verstrekken. Deze ruimte mag tevens benut worden voor vergoeding van zaken waarvan werknemers privé voordeel hebben (attenties). De omvang van deze vrije ruimte wordt bepaald door de omvang van de totale loonsom. De omvang van het WKR-budget kan daarom per jaar verschillen. Niet alle vergoedingen waarvoor geen gerichte vrijstelling geldt, vallen onder het WKR-budget. Vergoedingen aan vrijwilligers, oud-personeelsleden of bestuurders vallen er bijvoorbeeld buiten.</w:t>
      </w:r>
    </w:p>
    <w:p w14:paraId="3B4F9F0F" w14:textId="77777777" w:rsidR="0056327F" w:rsidRDefault="0056327F" w:rsidP="0056327F"/>
    <w:p w14:paraId="7895D637" w14:textId="77777777" w:rsidR="0056327F" w:rsidRDefault="0056327F" w:rsidP="0056327F">
      <w:r w:rsidRPr="00397684">
        <w:t>De volgende van de hiervoor genoemde kostenvergoedingen komen in ieder geval ten laste van de vrije ruimte:</w:t>
      </w:r>
    </w:p>
    <w:tbl>
      <w:tblPr>
        <w:tblStyle w:val="VGS-Tabel"/>
        <w:tblpPr w:leftFromText="141" w:rightFromText="141" w:vertAnchor="text" w:horzAnchor="margin" w:tblpY="144"/>
        <w:tblW w:w="0" w:type="auto"/>
        <w:tblLook w:val="04A0" w:firstRow="1" w:lastRow="0" w:firstColumn="1" w:lastColumn="0" w:noHBand="0" w:noVBand="1"/>
      </w:tblPr>
      <w:tblGrid>
        <w:gridCol w:w="7083"/>
      </w:tblGrid>
      <w:tr w:rsidR="0056327F" w:rsidRPr="006E51A1" w14:paraId="100FA3E9" w14:textId="77777777" w:rsidTr="00C43195">
        <w:trPr>
          <w:cnfStyle w:val="100000000000" w:firstRow="1" w:lastRow="0" w:firstColumn="0" w:lastColumn="0" w:oddVBand="0" w:evenVBand="0" w:oddHBand="0" w:evenHBand="0" w:firstRowFirstColumn="0" w:firstRowLastColumn="0" w:lastRowFirstColumn="0" w:lastRowLastColumn="0"/>
          <w:trHeight w:val="426"/>
        </w:trPr>
        <w:tc>
          <w:tcPr>
            <w:cnfStyle w:val="001000000100" w:firstRow="0" w:lastRow="0" w:firstColumn="1" w:lastColumn="0" w:oddVBand="0" w:evenVBand="0" w:oddHBand="0" w:evenHBand="0" w:firstRowFirstColumn="1" w:firstRowLastColumn="0" w:lastRowFirstColumn="0" w:lastRowLastColumn="0"/>
            <w:tcW w:w="7083" w:type="dxa"/>
          </w:tcPr>
          <w:p w14:paraId="2747FF08" w14:textId="77777777" w:rsidR="0056327F" w:rsidRPr="006E51A1" w:rsidRDefault="0056327F" w:rsidP="00872E05">
            <w:pPr>
              <w:spacing w:line="280" w:lineRule="exact"/>
              <w:rPr>
                <w:b w:val="0"/>
                <w:bCs/>
              </w:rPr>
            </w:pPr>
            <w:r w:rsidRPr="00AA0AA4">
              <w:rPr>
                <w:bCs/>
                <w:color w:val="FF7549" w:themeColor="accent3"/>
              </w:rPr>
              <w:t>Type vergoeding</w:t>
            </w:r>
          </w:p>
        </w:tc>
      </w:tr>
      <w:tr w:rsidR="0056327F" w:rsidRPr="006E51A1" w14:paraId="51F1321D" w14:textId="77777777" w:rsidTr="0020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430FD87E" w14:textId="77777777" w:rsidR="0056327F" w:rsidRPr="006E51A1" w:rsidRDefault="0056327F" w:rsidP="00872E05">
            <w:pPr>
              <w:spacing w:line="280" w:lineRule="exact"/>
            </w:pPr>
          </w:p>
        </w:tc>
      </w:tr>
      <w:tr w:rsidR="0056327F" w:rsidRPr="006E51A1" w14:paraId="34F3B655" w14:textId="77777777" w:rsidTr="002076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2D1C624C" w14:textId="77777777" w:rsidR="0056327F" w:rsidRPr="006E51A1" w:rsidRDefault="0056327F" w:rsidP="00724A53">
            <w:r w:rsidRPr="006E51A1">
              <w:t>1. Dienstreizen voor € 0,07 per km</w:t>
            </w:r>
          </w:p>
        </w:tc>
      </w:tr>
      <w:tr w:rsidR="0056327F" w:rsidRPr="006E51A1" w14:paraId="0792C97F" w14:textId="77777777" w:rsidTr="0020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04A6A19D" w14:textId="77777777" w:rsidR="0056327F" w:rsidRPr="006E51A1" w:rsidRDefault="0056327F" w:rsidP="00724A53"/>
        </w:tc>
      </w:tr>
      <w:tr w:rsidR="0056327F" w:rsidRPr="006E51A1" w14:paraId="75429F7C" w14:textId="77777777" w:rsidTr="002076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2548CF3A" w14:textId="77777777" w:rsidR="0056327F" w:rsidRPr="006E51A1" w:rsidRDefault="0056327F" w:rsidP="00724A53">
            <w:r w:rsidRPr="006E51A1">
              <w:t>2. Parkeerkosten, pontkosten, e.d.</w:t>
            </w:r>
          </w:p>
        </w:tc>
      </w:tr>
      <w:tr w:rsidR="0056327F" w:rsidRPr="006E51A1" w14:paraId="079BBE36" w14:textId="77777777" w:rsidTr="0020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17ED59D3" w14:textId="77777777" w:rsidR="0056327F" w:rsidRPr="006E51A1" w:rsidRDefault="0056327F" w:rsidP="00724A53"/>
        </w:tc>
      </w:tr>
      <w:tr w:rsidR="0056327F" w:rsidRPr="006E51A1" w14:paraId="3CC4891C" w14:textId="77777777" w:rsidTr="002076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7CDCC6D3" w14:textId="77777777" w:rsidR="0056327F" w:rsidRPr="006E51A1" w:rsidRDefault="0056327F" w:rsidP="00724A53">
            <w:r w:rsidRPr="006E51A1">
              <w:t>3. Pensionkostenvergoeding</w:t>
            </w:r>
          </w:p>
        </w:tc>
      </w:tr>
      <w:tr w:rsidR="0056327F" w:rsidRPr="006E51A1" w14:paraId="7CCC0528" w14:textId="77777777" w:rsidTr="0020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5ACCC5C5" w14:textId="77777777" w:rsidR="0056327F" w:rsidRPr="006E51A1" w:rsidRDefault="0056327F" w:rsidP="00724A53"/>
        </w:tc>
      </w:tr>
      <w:tr w:rsidR="0056327F" w:rsidRPr="006E51A1" w14:paraId="1A39AA52" w14:textId="77777777" w:rsidTr="00207654">
        <w:trPr>
          <w:cnfStyle w:val="000000010000" w:firstRow="0" w:lastRow="0" w:firstColumn="0" w:lastColumn="0" w:oddVBand="0" w:evenVBand="0" w:oddHBand="0" w:evenHBand="1"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7083" w:type="dxa"/>
          </w:tcPr>
          <w:p w14:paraId="39EED3A1" w14:textId="77777777" w:rsidR="0056327F" w:rsidRPr="006E51A1" w:rsidRDefault="0056327F" w:rsidP="00724A53">
            <w:r w:rsidRPr="006E51A1">
              <w:t>4. Vakbondscontributie bij uitruil</w:t>
            </w:r>
          </w:p>
        </w:tc>
      </w:tr>
      <w:tr w:rsidR="0056327F" w:rsidRPr="006E51A1" w14:paraId="2BDCDEB5" w14:textId="77777777" w:rsidTr="0020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3147D5AB" w14:textId="77777777" w:rsidR="0056327F" w:rsidRPr="006E51A1" w:rsidRDefault="0056327F" w:rsidP="00724A53"/>
        </w:tc>
      </w:tr>
      <w:tr w:rsidR="0056327F" w:rsidRPr="006E51A1" w14:paraId="092EC48F" w14:textId="77777777" w:rsidTr="002076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53589A92" w14:textId="77777777" w:rsidR="0056327F" w:rsidRPr="006E51A1" w:rsidRDefault="0056327F" w:rsidP="00724A53">
            <w:r w:rsidRPr="006E51A1">
              <w:t>5.Fiets-privé regeling</w:t>
            </w:r>
          </w:p>
        </w:tc>
      </w:tr>
      <w:tr w:rsidR="0056327F" w:rsidRPr="006E51A1" w14:paraId="00E61BFD" w14:textId="77777777" w:rsidTr="00207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62375C8B" w14:textId="77777777" w:rsidR="0056327F" w:rsidRPr="006E51A1" w:rsidRDefault="0056327F" w:rsidP="00872E05">
            <w:pPr>
              <w:spacing w:line="280" w:lineRule="exact"/>
            </w:pPr>
          </w:p>
        </w:tc>
      </w:tr>
    </w:tbl>
    <w:p w14:paraId="16CC6412" w14:textId="77777777" w:rsidR="0056327F" w:rsidRDefault="0056327F" w:rsidP="0056327F"/>
    <w:p w14:paraId="3A27D1FE" w14:textId="77777777" w:rsidR="0056327F" w:rsidRDefault="0056327F" w:rsidP="0056327F">
      <w:pPr>
        <w:pStyle w:val="H4"/>
      </w:pPr>
      <w:r w:rsidRPr="0065044F">
        <w:lastRenderedPageBreak/>
        <w:t>3.2. Overige afspraken met betrekking tot vergoedingen aan werknemers</w:t>
      </w:r>
    </w:p>
    <w:p w14:paraId="24AFDF3F" w14:textId="77777777" w:rsidR="0056327F" w:rsidRDefault="0056327F" w:rsidP="0056327F">
      <w:pPr>
        <w:pStyle w:val="H4"/>
      </w:pPr>
    </w:p>
    <w:p w14:paraId="0A142724" w14:textId="77777777" w:rsidR="0056327F" w:rsidRDefault="0056327F" w:rsidP="0056327F">
      <w:r w:rsidRPr="0065044F">
        <w:t>Niet alleen verstrekking van kostenvergoedingen aan personeelsleden komen ten laste van de vrije ruimte onder de WKR. Ook andere ‘vergoedingen’ die een voordeel voor de werknemer inhouden staan in relatie tot de WKR. Denk hierbij aan het verschaffen van attenties, het organiseren van uitjes of het verzorgen van een etentje. Teneinde de uitgaven die ten laste van de WKR komen beheersbaar te houden, zijn de volgende vuistregels vastgesteld:</w:t>
      </w:r>
    </w:p>
    <w:p w14:paraId="422E4CD8" w14:textId="77777777" w:rsidR="0056327F" w:rsidRDefault="0056327F" w:rsidP="0056327F"/>
    <w:p w14:paraId="0546E03A" w14:textId="77777777" w:rsidR="0056327F" w:rsidRDefault="0056327F" w:rsidP="0056327F">
      <w:pPr>
        <w:pStyle w:val="Opsomming"/>
        <w:numPr>
          <w:ilvl w:val="0"/>
          <w:numId w:val="40"/>
        </w:numPr>
      </w:pPr>
      <w:r>
        <w:t>In bijlage 2 is een overzicht opgenomen van attenties en vergoedingen die door de school aan personeelsleden, bestuursleden, MR-oudergeleding en enkele commissies worden verstrekt. In de bijlage staat aangegeven in hoeverre de attenties aan personeelsleden ten laste komen van de vrij ruimte onder de WKR. Persoonlijke geschenken vanuit de school bij afscheid, lief en leed e.d., (een persoonlijke attentie waarbij de persoon van de werknemer voorop staat), gegeven in natura (dus geen geld of waardebon), met een maximum van € 25 (incl. btw), vallen onder een fiscale vrijstelling.</w:t>
      </w:r>
    </w:p>
    <w:p w14:paraId="0B14B7D0" w14:textId="77777777" w:rsidR="0056327F" w:rsidRDefault="0056327F" w:rsidP="0056327F">
      <w:pPr>
        <w:pStyle w:val="Opsomming"/>
        <w:numPr>
          <w:ilvl w:val="0"/>
          <w:numId w:val="40"/>
        </w:numPr>
      </w:pPr>
      <w:r>
        <w:t>De kosten van een receptie, diner of buffet (bijv. in kader personeelsfeestje of jubileum) vallen buiten de vrije ruimte van de WKR als deze op school plaatsvinden (</w:t>
      </w:r>
      <w:proofErr w:type="spellStart"/>
      <w:r>
        <w:t>nihilwaardering</w:t>
      </w:r>
      <w:proofErr w:type="spellEnd"/>
      <w:r>
        <w:t xml:space="preserve">). Daarom zullen wij in de regel voor deze wijze van organisatie kiezen. Ook verstrekte lunches op school, voor zover deze bijeenkomsten een meer dan bijkomstig zakelijk karakter hebben (bijvoorbeeld verstrekte lunches tijdens teamscholing e.d.) komen niet ten laste van de WKR. </w:t>
      </w:r>
    </w:p>
    <w:p w14:paraId="34DC5685" w14:textId="77777777" w:rsidR="0056327F" w:rsidRDefault="0056327F" w:rsidP="0056327F">
      <w:pPr>
        <w:pStyle w:val="SubOpsomming-"/>
      </w:pPr>
      <w:r>
        <w:t>Nb. Op school verzorgde lunches zonder dat zakelijke karakter overheerst, komen voor een bedrag van € 3,35 per medewerker ten laste van de vrije ruimte van de WKR.</w:t>
      </w:r>
    </w:p>
    <w:p w14:paraId="03EFE963" w14:textId="77777777" w:rsidR="0056327F" w:rsidRDefault="0056327F" w:rsidP="0056327F">
      <w:pPr>
        <w:pStyle w:val="Opsomming"/>
        <w:numPr>
          <w:ilvl w:val="0"/>
          <w:numId w:val="40"/>
        </w:numPr>
      </w:pPr>
      <w:r>
        <w:t xml:space="preserve">Eens per jaar stelt de werkgever het personeel in de gelegenheid een personeelsuitje te organiseren. Hiervoor is </w:t>
      </w:r>
      <w:r w:rsidRPr="00C86A8B">
        <w:rPr>
          <w:highlight w:val="yellow"/>
        </w:rPr>
        <w:t>ongeveer € 60</w:t>
      </w:r>
      <w:r>
        <w:t xml:space="preserve"> per deelnemer beschikbaar. Deze kosten komen ten laste van de vrije ruimte onder de WKR.</w:t>
      </w:r>
    </w:p>
    <w:p w14:paraId="25D92FDE" w14:textId="77777777" w:rsidR="0056327F" w:rsidRDefault="0056327F" w:rsidP="0056327F">
      <w:pPr>
        <w:pStyle w:val="Opsomming"/>
        <w:numPr>
          <w:ilvl w:val="0"/>
          <w:numId w:val="40"/>
        </w:numPr>
      </w:pPr>
      <w:r>
        <w:t>De kerst en nieuwjaarsgeschenken bestaan uit een kerstpakket, een bon of boek ter waarde van € 50. De waarde van deze attenties komt ten laste van de vrije ruimte onder de WKR.</w:t>
      </w:r>
    </w:p>
    <w:p w14:paraId="180E1445" w14:textId="77777777" w:rsidR="0056327F" w:rsidRDefault="0056327F" w:rsidP="0056327F">
      <w:r>
        <w:br w:type="page"/>
      </w:r>
    </w:p>
    <w:p w14:paraId="6F2C4C84" w14:textId="77777777" w:rsidR="0056327F" w:rsidRDefault="0056327F" w:rsidP="0056327F">
      <w:pPr>
        <w:pStyle w:val="H2"/>
      </w:pPr>
      <w:r>
        <w:lastRenderedPageBreak/>
        <w:t>Bijlages:</w:t>
      </w:r>
    </w:p>
    <w:p w14:paraId="11805FAA" w14:textId="77777777" w:rsidR="0056327F" w:rsidRDefault="0056327F" w:rsidP="0056327F">
      <w:pPr>
        <w:pStyle w:val="H2"/>
      </w:pPr>
    </w:p>
    <w:p w14:paraId="04E2AC0B" w14:textId="77777777" w:rsidR="0056327F" w:rsidRDefault="0056327F" w:rsidP="0056327F">
      <w:pPr>
        <w:pStyle w:val="H3"/>
      </w:pPr>
      <w:r w:rsidRPr="00C86A8B">
        <w:t>Bijlage 1 Reglement Cafetariaregeling</w:t>
      </w:r>
    </w:p>
    <w:p w14:paraId="06EEC6B7" w14:textId="77777777" w:rsidR="0056327F" w:rsidRDefault="0056327F" w:rsidP="0056327F">
      <w:pPr>
        <w:rPr>
          <w:b/>
          <w:sz w:val="26"/>
        </w:rPr>
      </w:pPr>
      <w:r>
        <w:br w:type="page"/>
      </w:r>
    </w:p>
    <w:p w14:paraId="114A0E1C" w14:textId="77777777" w:rsidR="0056327F" w:rsidRPr="00C86A8B" w:rsidRDefault="0056327F" w:rsidP="0056327F">
      <w:pPr>
        <w:pStyle w:val="H3"/>
      </w:pPr>
      <w:r w:rsidRPr="00C86A8B">
        <w:lastRenderedPageBreak/>
        <w:t>Bijlage 2 Lief en leed</w:t>
      </w:r>
    </w:p>
    <w:p w14:paraId="7A5CA26C" w14:textId="77777777" w:rsidR="000A6C86" w:rsidRPr="0056327F" w:rsidRDefault="000A6C86" w:rsidP="0056327F"/>
    <w:sectPr w:rsidR="000A6C86" w:rsidRPr="0056327F" w:rsidSect="00E04B9C">
      <w:headerReference w:type="default" r:id="rId12"/>
      <w:headerReference w:type="first" r:id="rId13"/>
      <w:pgSz w:w="11906" w:h="16838"/>
      <w:pgMar w:top="2495" w:right="3402"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7907" w14:textId="77777777" w:rsidR="00152CAF" w:rsidRDefault="00152CAF" w:rsidP="004E6691">
      <w:pPr>
        <w:spacing w:line="240" w:lineRule="auto"/>
      </w:pPr>
      <w:r>
        <w:separator/>
      </w:r>
    </w:p>
  </w:endnote>
  <w:endnote w:type="continuationSeparator" w:id="0">
    <w:p w14:paraId="4964A18D" w14:textId="77777777" w:rsidR="00152CAF" w:rsidRDefault="00152CAF" w:rsidP="004E6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libri"/>
    <w:panose1 w:val="00000000000000000000"/>
    <w:charset w:val="00"/>
    <w:family w:val="auto"/>
    <w:pitch w:val="variable"/>
    <w:sig w:usb0="A000006F" w:usb1="0000007B" w:usb2="00000000" w:usb3="00000000" w:csb0="00000093" w:csb1="00000000"/>
  </w:font>
  <w:font w:name="Frutiger LT Std 55 Roman">
    <w:altName w:val="Calibri"/>
    <w:panose1 w:val="020B0602020204020204"/>
    <w:charset w:val="00"/>
    <w:family w:val="swiss"/>
    <w:notTrueType/>
    <w:pitch w:val="variable"/>
    <w:sig w:usb0="800000AF" w:usb1="4000204A" w:usb2="00000000" w:usb3="00000000" w:csb0="00000001" w:csb1="00000000"/>
  </w:font>
  <w:font w:name="Times New Roman (Hoofdtekst C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igtree Medium">
    <w:altName w:val="Calibri"/>
    <w:panose1 w:val="00000000000000000000"/>
    <w:charset w:val="00"/>
    <w:family w:val="auto"/>
    <w:pitch w:val="variable"/>
    <w:sig w:usb0="A000006F" w:usb1="0000007B" w:usb2="00000000" w:usb3="00000000" w:csb0="00000093" w:csb1="00000000"/>
  </w:font>
  <w:font w:name="Safiro SemiBold">
    <w:altName w:val="Calibri"/>
    <w:panose1 w:val="00000000000000000000"/>
    <w:charset w:val="4D"/>
    <w:family w:val="auto"/>
    <w:notTrueType/>
    <w:pitch w:val="variable"/>
    <w:sig w:usb0="A000006F" w:usb1="0000006A" w:usb2="00000000" w:usb3="00000000" w:csb0="00000093" w:csb1="00000000"/>
  </w:font>
  <w:font w:name="Safiro">
    <w:altName w:val="Calibri"/>
    <w:panose1 w:val="00000000000000000000"/>
    <w:charset w:val="4D"/>
    <w:family w:val="auto"/>
    <w:notTrueType/>
    <w:pitch w:val="variable"/>
    <w:sig w:usb0="A000006F" w:usb1="0000006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9FA6" w14:textId="77777777" w:rsidR="00152CAF" w:rsidRDefault="00152CAF" w:rsidP="004E6691">
      <w:pPr>
        <w:spacing w:line="240" w:lineRule="auto"/>
      </w:pPr>
      <w:r>
        <w:separator/>
      </w:r>
    </w:p>
  </w:footnote>
  <w:footnote w:type="continuationSeparator" w:id="0">
    <w:p w14:paraId="5965C522" w14:textId="77777777" w:rsidR="00152CAF" w:rsidRDefault="00152CAF" w:rsidP="004E66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898" w14:textId="77777777" w:rsidR="00C567DD" w:rsidRDefault="000A6C86">
    <w:pPr>
      <w:pStyle w:val="Koptekst"/>
    </w:pPr>
    <w:r>
      <w:rPr>
        <w:noProof/>
      </w:rPr>
      <w:drawing>
        <wp:anchor distT="0" distB="0" distL="114300" distR="114300" simplePos="0" relativeHeight="251661312" behindDoc="1" locked="0" layoutInCell="1" allowOverlap="1" wp14:anchorId="30EFC028" wp14:editId="30C4531C">
          <wp:simplePos x="0" y="0"/>
          <wp:positionH relativeFrom="column">
            <wp:posOffset>-714375</wp:posOffset>
          </wp:positionH>
          <wp:positionV relativeFrom="page">
            <wp:posOffset>9525</wp:posOffset>
          </wp:positionV>
          <wp:extent cx="7549200" cy="10670400"/>
          <wp:effectExtent l="0" t="0" r="0" b="0"/>
          <wp:wrapNone/>
          <wp:docPr id="1596132957" name="Afbeelding 2" descr="Afbeelding met tekst, schermopname,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05253" name="Afbeelding 2" descr="Afbeelding met tekst, schermopname, wit,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FB4C" w14:textId="77777777" w:rsidR="00C567DD" w:rsidRDefault="000A6C86">
    <w:pPr>
      <w:pStyle w:val="Koptekst"/>
    </w:pPr>
    <w:r>
      <w:rPr>
        <w:noProof/>
      </w:rPr>
      <w:drawing>
        <wp:anchor distT="0" distB="0" distL="114300" distR="114300" simplePos="0" relativeHeight="251660288" behindDoc="1" locked="0" layoutInCell="1" allowOverlap="1" wp14:anchorId="6F84CD5E" wp14:editId="328D185B">
          <wp:simplePos x="0" y="0"/>
          <wp:positionH relativeFrom="column">
            <wp:posOffset>-711649</wp:posOffset>
          </wp:positionH>
          <wp:positionV relativeFrom="page">
            <wp:posOffset>12700</wp:posOffset>
          </wp:positionV>
          <wp:extent cx="7545018" cy="10670400"/>
          <wp:effectExtent l="0" t="0" r="0" b="0"/>
          <wp:wrapNone/>
          <wp:docPr id="9588076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07692"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45018" cy="1067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404.5pt;height:362.5pt" o:bullet="t">
        <v:imagedata r:id="rId1" o:title="Opsomming"/>
      </v:shape>
    </w:pict>
  </w:numPicBullet>
  <w:numPicBullet w:numPicBulletId="2">
    <w:pict>
      <v:shape id="_x0000_i1027" type="#_x0000_t75" style="width:249pt;height:223.5pt" o:bullet="t">
        <v:imagedata r:id="rId2" o:title="Opsomming 2"/>
      </v:shape>
    </w:pict>
  </w:numPicBullet>
  <w:abstractNum w:abstractNumId="0" w15:restartNumberingAfterBreak="0">
    <w:nsid w:val="005B416D"/>
    <w:multiLevelType w:val="hybridMultilevel"/>
    <w:tmpl w:val="2BDAB11E"/>
    <w:lvl w:ilvl="0" w:tplc="3F226342">
      <w:start w:val="1"/>
      <w:numFmt w:val="bullet"/>
      <w:lvlText w:val=""/>
      <w:lvlJc w:val="left"/>
      <w:pPr>
        <w:ind w:left="1021" w:hanging="34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80795"/>
    <w:multiLevelType w:val="hybridMultilevel"/>
    <w:tmpl w:val="A080E1FA"/>
    <w:lvl w:ilvl="0" w:tplc="0CD6D924">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675D03"/>
    <w:multiLevelType w:val="hybridMultilevel"/>
    <w:tmpl w:val="2376E57A"/>
    <w:lvl w:ilvl="0" w:tplc="14AA0A92">
      <w:start w:val="1"/>
      <w:numFmt w:val="bullet"/>
      <w:lvlText w:val=""/>
      <w:lvlJc w:val="left"/>
      <w:pPr>
        <w:ind w:left="267" w:firstLine="3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E0045"/>
    <w:multiLevelType w:val="hybridMultilevel"/>
    <w:tmpl w:val="44D03E74"/>
    <w:lvl w:ilvl="0" w:tplc="635C60E2">
      <w:start w:val="1"/>
      <w:numFmt w:val="decimal"/>
      <w:lvlText w:val="%1."/>
      <w:lvlJc w:val="left"/>
      <w:pPr>
        <w:ind w:left="340" w:hanging="340"/>
      </w:pPr>
      <w:rPr>
        <w:rFonts w:hint="default"/>
        <w:b/>
        <w:bCs/>
        <w:color w:val="FF7549" w:themeColor="accent3"/>
        <w:sz w:val="26"/>
        <w:szCs w:val="3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1710EC"/>
    <w:multiLevelType w:val="hybridMultilevel"/>
    <w:tmpl w:val="F31C3F9C"/>
    <w:lvl w:ilvl="0" w:tplc="833AD71E">
      <w:start w:val="1"/>
      <w:numFmt w:val="bullet"/>
      <w:pStyle w:val="SubOpsomming-"/>
      <w:lvlText w:val=""/>
      <w:lvlJc w:val="left"/>
      <w:pPr>
        <w:ind w:left="680"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8873E7"/>
    <w:multiLevelType w:val="hybridMultilevel"/>
    <w:tmpl w:val="9BC2F0AA"/>
    <w:lvl w:ilvl="0" w:tplc="857EB170">
      <w:start w:val="1"/>
      <w:numFmt w:val="bullet"/>
      <w:lvlText w:val=""/>
      <w:lvlJc w:val="left"/>
      <w:pPr>
        <w:ind w:left="90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8B74E7"/>
    <w:multiLevelType w:val="hybridMultilevel"/>
    <w:tmpl w:val="2D4E5710"/>
    <w:lvl w:ilvl="0" w:tplc="D1600C90">
      <w:start w:val="1"/>
      <w:numFmt w:val="bullet"/>
      <w:lvlText w:val=""/>
      <w:lvlJc w:val="left"/>
      <w:pPr>
        <w:ind w:left="1134" w:hanging="45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78262B"/>
    <w:multiLevelType w:val="hybridMultilevel"/>
    <w:tmpl w:val="B87C1EF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8D391E"/>
    <w:multiLevelType w:val="hybridMultilevel"/>
    <w:tmpl w:val="8ED4EF86"/>
    <w:lvl w:ilvl="0" w:tplc="301852C0">
      <w:start w:val="1"/>
      <w:numFmt w:val="bullet"/>
      <w:lvlText w:val=""/>
      <w:lvlJc w:val="left"/>
      <w:pPr>
        <w:ind w:left="1361"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E70D54"/>
    <w:multiLevelType w:val="hybridMultilevel"/>
    <w:tmpl w:val="FDECF68C"/>
    <w:lvl w:ilvl="0" w:tplc="0CD6D924">
      <w:start w:val="1"/>
      <w:numFmt w:val="bullet"/>
      <w:lvlText w:val=""/>
      <w:lvlJc w:val="left"/>
      <w:pPr>
        <w:ind w:left="907" w:hanging="453"/>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B434FB"/>
    <w:multiLevelType w:val="multilevel"/>
    <w:tmpl w:val="4440C80A"/>
    <w:styleLink w:val="Huidigelijst2"/>
    <w:lvl w:ilvl="0">
      <w:start w:val="1"/>
      <w:numFmt w:val="bullet"/>
      <w:lvlText w:val=""/>
      <w:lvlJc w:val="left"/>
      <w:pPr>
        <w:ind w:left="794"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4521F5"/>
    <w:multiLevelType w:val="hybridMultilevel"/>
    <w:tmpl w:val="4B265F8C"/>
    <w:lvl w:ilvl="0" w:tplc="F2123280">
      <w:start w:val="1"/>
      <w:numFmt w:val="decimal"/>
      <w:lvlText w:val="%1."/>
      <w:lvlJc w:val="left"/>
      <w:pPr>
        <w:ind w:left="340" w:hanging="340"/>
      </w:pPr>
      <w:rPr>
        <w:rFonts w:hint="default"/>
        <w:b/>
        <w:bCs/>
        <w:color w:val="FF7549" w:themeColor="accent3"/>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392BD0"/>
    <w:multiLevelType w:val="multilevel"/>
    <w:tmpl w:val="38687C64"/>
    <w:styleLink w:val="Huidigelijst8"/>
    <w:lvl w:ilvl="0">
      <w:start w:val="1"/>
      <w:numFmt w:val="bullet"/>
      <w:lvlText w:val=""/>
      <w:lvlJc w:val="left"/>
      <w:pPr>
        <w:ind w:left="1418" w:hanging="341"/>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EE3519"/>
    <w:multiLevelType w:val="hybridMultilevel"/>
    <w:tmpl w:val="92DED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236FAE"/>
    <w:multiLevelType w:val="multilevel"/>
    <w:tmpl w:val="5894902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9B6A98"/>
    <w:multiLevelType w:val="hybridMultilevel"/>
    <w:tmpl w:val="4044E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3E1FBF"/>
    <w:multiLevelType w:val="hybridMultilevel"/>
    <w:tmpl w:val="5C48BBA0"/>
    <w:lvl w:ilvl="0" w:tplc="66381244">
      <w:start w:val="1"/>
      <w:numFmt w:val="bullet"/>
      <w:lvlText w:val=""/>
      <w:lvlJc w:val="left"/>
      <w:pPr>
        <w:ind w:left="1134" w:hanging="45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352ED5"/>
    <w:multiLevelType w:val="multilevel"/>
    <w:tmpl w:val="7A52081E"/>
    <w:styleLink w:val="Huidigelijst5"/>
    <w:lvl w:ilvl="0">
      <w:start w:val="1"/>
      <w:numFmt w:val="bullet"/>
      <w:lvlText w:val=""/>
      <w:lvlPicBulletId w:val="1"/>
      <w:lvlJc w:val="left"/>
      <w:pPr>
        <w:ind w:left="454" w:hanging="45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2053F7"/>
    <w:multiLevelType w:val="multilevel"/>
    <w:tmpl w:val="9106371A"/>
    <w:styleLink w:val="Huidigelijst4"/>
    <w:lvl w:ilvl="0">
      <w:start w:val="1"/>
      <w:numFmt w:val="bullet"/>
      <w:lvlText w:val=""/>
      <w:lvlJc w:val="left"/>
      <w:pPr>
        <w:ind w:left="107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F84FAC"/>
    <w:multiLevelType w:val="hybridMultilevel"/>
    <w:tmpl w:val="22CE7C3C"/>
    <w:lvl w:ilvl="0" w:tplc="D0247C24">
      <w:start w:val="1"/>
      <w:numFmt w:val="bullet"/>
      <w:lvlText w:val=""/>
      <w:lvlJc w:val="left"/>
      <w:pPr>
        <w:ind w:left="124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0B2362"/>
    <w:multiLevelType w:val="hybridMultilevel"/>
    <w:tmpl w:val="2286B8B6"/>
    <w:lvl w:ilvl="0" w:tplc="44141B2E">
      <w:start w:val="1"/>
      <w:numFmt w:val="bullet"/>
      <w:lvlText w:val=""/>
      <w:lvlJc w:val="left"/>
      <w:pPr>
        <w:ind w:left="964"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E41146"/>
    <w:multiLevelType w:val="hybridMultilevel"/>
    <w:tmpl w:val="276A7520"/>
    <w:lvl w:ilvl="0" w:tplc="E05A913E">
      <w:start w:val="1"/>
      <w:numFmt w:val="decimal"/>
      <w:lvlText w:val="%1."/>
      <w:lvlJc w:val="left"/>
      <w:pPr>
        <w:ind w:left="340" w:hanging="340"/>
      </w:pPr>
      <w:rPr>
        <w:rFonts w:hint="default"/>
        <w:b/>
        <w:bCs/>
        <w:color w:val="FF7549" w:themeColor="accent3"/>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0716F4"/>
    <w:multiLevelType w:val="hybridMultilevel"/>
    <w:tmpl w:val="277C10A8"/>
    <w:lvl w:ilvl="0" w:tplc="0010AC5A">
      <w:start w:val="1"/>
      <w:numFmt w:val="bullet"/>
      <w:lvlText w:val=""/>
      <w:lvlPicBulletId w:val="1"/>
      <w:lvlJc w:val="left"/>
      <w:pPr>
        <w:ind w:left="340"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5E1164"/>
    <w:multiLevelType w:val="hybridMultilevel"/>
    <w:tmpl w:val="6FE88AB0"/>
    <w:lvl w:ilvl="0" w:tplc="5A6AFB80">
      <w:start w:val="1"/>
      <w:numFmt w:val="bullet"/>
      <w:pStyle w:val="Opsomming"/>
      <w:lvlText w:val=""/>
      <w:lvlPicBulletId w:val="2"/>
      <w:lvlJc w:val="left"/>
      <w:pPr>
        <w:ind w:left="340" w:hanging="34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CD1BB3"/>
    <w:multiLevelType w:val="hybridMultilevel"/>
    <w:tmpl w:val="01F8E91E"/>
    <w:lvl w:ilvl="0" w:tplc="771287DC">
      <w:start w:val="1"/>
      <w:numFmt w:val="bullet"/>
      <w:lvlText w:val=""/>
      <w:lvlJc w:val="left"/>
      <w:pPr>
        <w:ind w:left="851" w:hanging="34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B32A17"/>
    <w:multiLevelType w:val="hybridMultilevel"/>
    <w:tmpl w:val="DC38E368"/>
    <w:lvl w:ilvl="0" w:tplc="77DA4BE6">
      <w:start w:val="1"/>
      <w:numFmt w:val="bullet"/>
      <w:lvlText w:val=""/>
      <w:lvlJc w:val="left"/>
      <w:pPr>
        <w:ind w:left="624" w:hanging="17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5172E1F"/>
    <w:multiLevelType w:val="multilevel"/>
    <w:tmpl w:val="DEF03068"/>
    <w:styleLink w:val="Huidigelij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63B50E9"/>
    <w:multiLevelType w:val="hybridMultilevel"/>
    <w:tmpl w:val="3D00BABA"/>
    <w:lvl w:ilvl="0" w:tplc="12FCB1BA">
      <w:start w:val="1"/>
      <w:numFmt w:val="decimal"/>
      <w:pStyle w:val="Cijferopsomming"/>
      <w:lvlText w:val="%1."/>
      <w:lvlJc w:val="left"/>
      <w:pPr>
        <w:ind w:left="340" w:hanging="340"/>
      </w:pPr>
      <w:rPr>
        <w:rFonts w:ascii="Figtree" w:hAnsi="Figtree" w:hint="default"/>
        <w:b/>
        <w:i w:val="0"/>
        <w:color w:val="FF7549" w:themeColor="accent3"/>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E9023D"/>
    <w:multiLevelType w:val="hybridMultilevel"/>
    <w:tmpl w:val="04DCEAB4"/>
    <w:lvl w:ilvl="0" w:tplc="E6E4786E">
      <w:start w:val="1"/>
      <w:numFmt w:val="bullet"/>
      <w:lvlText w:val=""/>
      <w:lvlPicBulletId w:val="1"/>
      <w:lvlJc w:val="left"/>
      <w:pPr>
        <w:ind w:left="624" w:hanging="511"/>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CE91852"/>
    <w:multiLevelType w:val="hybridMultilevel"/>
    <w:tmpl w:val="732E0B6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D054618"/>
    <w:multiLevelType w:val="multilevel"/>
    <w:tmpl w:val="FF784DCA"/>
    <w:styleLink w:val="Huidigelijst7"/>
    <w:lvl w:ilvl="0">
      <w:start w:val="1"/>
      <w:numFmt w:val="bullet"/>
      <w:lvlText w:val=""/>
      <w:lvlJc w:val="left"/>
      <w:pPr>
        <w:ind w:left="851" w:hanging="341"/>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E13F57"/>
    <w:multiLevelType w:val="hybridMultilevel"/>
    <w:tmpl w:val="F7DC3C14"/>
    <w:lvl w:ilvl="0" w:tplc="3572DA00">
      <w:start w:val="1"/>
      <w:numFmt w:val="upperLetter"/>
      <w:pStyle w:val="Letteropsomming"/>
      <w:lvlText w:val="%1."/>
      <w:lvlJc w:val="left"/>
      <w:pPr>
        <w:ind w:left="700" w:hanging="360"/>
      </w:pPr>
      <w:rPr>
        <w:rFonts w:hint="default"/>
        <w:b/>
        <w:i w:val="0"/>
        <w:color w:val="FF7549" w:themeColor="accent3"/>
        <w:sz w:val="20"/>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32" w15:restartNumberingAfterBreak="0">
    <w:nsid w:val="5FF6188A"/>
    <w:multiLevelType w:val="hybridMultilevel"/>
    <w:tmpl w:val="3EE8BDF6"/>
    <w:lvl w:ilvl="0" w:tplc="76086B46">
      <w:start w:val="1"/>
      <w:numFmt w:val="bullet"/>
      <w:lvlText w:val=""/>
      <w:lvlJc w:val="left"/>
      <w:pPr>
        <w:ind w:left="73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1E1526"/>
    <w:multiLevelType w:val="hybridMultilevel"/>
    <w:tmpl w:val="D79C3446"/>
    <w:lvl w:ilvl="0" w:tplc="0413000F">
      <w:start w:val="1"/>
      <w:numFmt w:val="decimal"/>
      <w:lvlText w:val="%1."/>
      <w:lvlJc w:val="left"/>
      <w:pPr>
        <w:ind w:left="927"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5780B46"/>
    <w:multiLevelType w:val="hybridMultilevel"/>
    <w:tmpl w:val="6022660E"/>
    <w:lvl w:ilvl="0" w:tplc="E8047ED4">
      <w:start w:val="1"/>
      <w:numFmt w:val="bullet"/>
      <w:lvlText w:val=""/>
      <w:lvlJc w:val="left"/>
      <w:pPr>
        <w:ind w:left="1134" w:hanging="45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C8347C"/>
    <w:multiLevelType w:val="multilevel"/>
    <w:tmpl w:val="9E4A0CC8"/>
    <w:styleLink w:val="Huidigelijst3"/>
    <w:lvl w:ilvl="0">
      <w:start w:val="1"/>
      <w:numFmt w:val="bullet"/>
      <w:lvlText w:val=""/>
      <w:lvlJc w:val="left"/>
      <w:pPr>
        <w:ind w:left="964" w:hanging="28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2A513C"/>
    <w:multiLevelType w:val="hybridMultilevel"/>
    <w:tmpl w:val="DF7408F2"/>
    <w:lvl w:ilvl="0" w:tplc="924A949A">
      <w:start w:val="1"/>
      <w:numFmt w:val="bullet"/>
      <w:lvlText w:val=""/>
      <w:lvlJc w:val="left"/>
      <w:pPr>
        <w:ind w:left="701" w:firstLine="9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6C6144"/>
    <w:multiLevelType w:val="multilevel"/>
    <w:tmpl w:val="C92419B4"/>
    <w:styleLink w:val="Huidigelijst6"/>
    <w:lvl w:ilvl="0">
      <w:start w:val="1"/>
      <w:numFmt w:val="bullet"/>
      <w:lvlText w:val=""/>
      <w:lvlJc w:val="left"/>
      <w:pPr>
        <w:ind w:left="107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5B298B"/>
    <w:multiLevelType w:val="hybridMultilevel"/>
    <w:tmpl w:val="F2DEE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34696A"/>
    <w:multiLevelType w:val="hybridMultilevel"/>
    <w:tmpl w:val="A5845E3C"/>
    <w:lvl w:ilvl="0" w:tplc="0413000F">
      <w:start w:val="1"/>
      <w:numFmt w:val="decimal"/>
      <w:lvlText w:val="%1."/>
      <w:lvlJc w:val="left"/>
      <w:pPr>
        <w:ind w:left="70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5779494">
    <w:abstractNumId w:val="28"/>
  </w:num>
  <w:num w:numId="2" w16cid:durableId="917059062">
    <w:abstractNumId w:val="22"/>
  </w:num>
  <w:num w:numId="3" w16cid:durableId="1869874483">
    <w:abstractNumId w:val="9"/>
  </w:num>
  <w:num w:numId="4" w16cid:durableId="622225400">
    <w:abstractNumId w:val="25"/>
  </w:num>
  <w:num w:numId="5" w16cid:durableId="1924678356">
    <w:abstractNumId w:val="38"/>
  </w:num>
  <w:num w:numId="6" w16cid:durableId="161170118">
    <w:abstractNumId w:val="7"/>
  </w:num>
  <w:num w:numId="7" w16cid:durableId="988365462">
    <w:abstractNumId w:val="29"/>
  </w:num>
  <w:num w:numId="8" w16cid:durableId="228538498">
    <w:abstractNumId w:val="20"/>
  </w:num>
  <w:num w:numId="9" w16cid:durableId="639966206">
    <w:abstractNumId w:val="32"/>
  </w:num>
  <w:num w:numId="10" w16cid:durableId="1358657230">
    <w:abstractNumId w:val="24"/>
  </w:num>
  <w:num w:numId="11" w16cid:durableId="847132768">
    <w:abstractNumId w:val="36"/>
  </w:num>
  <w:num w:numId="12" w16cid:durableId="423116577">
    <w:abstractNumId w:val="2"/>
  </w:num>
  <w:num w:numId="13" w16cid:durableId="2117867889">
    <w:abstractNumId w:val="13"/>
  </w:num>
  <w:num w:numId="14" w16cid:durableId="1096562335">
    <w:abstractNumId w:val="15"/>
  </w:num>
  <w:num w:numId="15" w16cid:durableId="656768160">
    <w:abstractNumId w:val="5"/>
  </w:num>
  <w:num w:numId="16" w16cid:durableId="760756674">
    <w:abstractNumId w:val="0"/>
  </w:num>
  <w:num w:numId="17" w16cid:durableId="2038463324">
    <w:abstractNumId w:val="8"/>
  </w:num>
  <w:num w:numId="18" w16cid:durableId="344988503">
    <w:abstractNumId w:val="26"/>
  </w:num>
  <w:num w:numId="19" w16cid:durableId="1726634554">
    <w:abstractNumId w:val="4"/>
  </w:num>
  <w:num w:numId="20" w16cid:durableId="2119566945">
    <w:abstractNumId w:val="33"/>
  </w:num>
  <w:num w:numId="21" w16cid:durableId="448083402">
    <w:abstractNumId w:val="1"/>
  </w:num>
  <w:num w:numId="22" w16cid:durableId="1051420215">
    <w:abstractNumId w:val="10"/>
  </w:num>
  <w:num w:numId="23" w16cid:durableId="1228998238">
    <w:abstractNumId w:val="35"/>
  </w:num>
  <w:num w:numId="24" w16cid:durableId="1700665167">
    <w:abstractNumId w:val="18"/>
  </w:num>
  <w:num w:numId="25" w16cid:durableId="1350717611">
    <w:abstractNumId w:val="19"/>
  </w:num>
  <w:num w:numId="26" w16cid:durableId="1401248422">
    <w:abstractNumId w:val="17"/>
  </w:num>
  <w:num w:numId="27" w16cid:durableId="1096096255">
    <w:abstractNumId w:val="37"/>
  </w:num>
  <w:num w:numId="28" w16cid:durableId="1061447653">
    <w:abstractNumId w:val="30"/>
  </w:num>
  <w:num w:numId="29" w16cid:durableId="380639052">
    <w:abstractNumId w:val="12"/>
  </w:num>
  <w:num w:numId="30" w16cid:durableId="206452885">
    <w:abstractNumId w:val="16"/>
  </w:num>
  <w:num w:numId="31" w16cid:durableId="919097356">
    <w:abstractNumId w:val="6"/>
  </w:num>
  <w:num w:numId="32" w16cid:durableId="335227014">
    <w:abstractNumId w:val="34"/>
  </w:num>
  <w:num w:numId="33" w16cid:durableId="1291983607">
    <w:abstractNumId w:val="23"/>
  </w:num>
  <w:num w:numId="34" w16cid:durableId="1448354116">
    <w:abstractNumId w:val="39"/>
  </w:num>
  <w:num w:numId="35" w16cid:durableId="947808847">
    <w:abstractNumId w:val="27"/>
  </w:num>
  <w:num w:numId="36" w16cid:durableId="978730326">
    <w:abstractNumId w:val="31"/>
  </w:num>
  <w:num w:numId="37" w16cid:durableId="1900087485">
    <w:abstractNumId w:val="14"/>
  </w:num>
  <w:num w:numId="38" w16cid:durableId="259145655">
    <w:abstractNumId w:val="3"/>
  </w:num>
  <w:num w:numId="39" w16cid:durableId="2018386074">
    <w:abstractNumId w:val="11"/>
  </w:num>
  <w:num w:numId="40" w16cid:durableId="17898609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C3"/>
    <w:rsid w:val="000A1D7C"/>
    <w:rsid w:val="000A6C86"/>
    <w:rsid w:val="0014243A"/>
    <w:rsid w:val="00152CAF"/>
    <w:rsid w:val="00187C1F"/>
    <w:rsid w:val="001B79B8"/>
    <w:rsid w:val="001C07D9"/>
    <w:rsid w:val="00207654"/>
    <w:rsid w:val="00215663"/>
    <w:rsid w:val="00281C58"/>
    <w:rsid w:val="0029598A"/>
    <w:rsid w:val="0035463B"/>
    <w:rsid w:val="003E4969"/>
    <w:rsid w:val="003F2C4D"/>
    <w:rsid w:val="00421A68"/>
    <w:rsid w:val="004E41B3"/>
    <w:rsid w:val="004E6691"/>
    <w:rsid w:val="004F36E3"/>
    <w:rsid w:val="0056327F"/>
    <w:rsid w:val="00575537"/>
    <w:rsid w:val="00586746"/>
    <w:rsid w:val="00601B03"/>
    <w:rsid w:val="006C6759"/>
    <w:rsid w:val="006F0F7F"/>
    <w:rsid w:val="00724A53"/>
    <w:rsid w:val="00764CF2"/>
    <w:rsid w:val="008C1A3F"/>
    <w:rsid w:val="008E16B1"/>
    <w:rsid w:val="008E76E7"/>
    <w:rsid w:val="008F657D"/>
    <w:rsid w:val="0092632C"/>
    <w:rsid w:val="00977F27"/>
    <w:rsid w:val="009D4C92"/>
    <w:rsid w:val="00A10039"/>
    <w:rsid w:val="00A83634"/>
    <w:rsid w:val="00AA0AA4"/>
    <w:rsid w:val="00AB658E"/>
    <w:rsid w:val="00B7064B"/>
    <w:rsid w:val="00C33B14"/>
    <w:rsid w:val="00C43195"/>
    <w:rsid w:val="00C44CC3"/>
    <w:rsid w:val="00C567DD"/>
    <w:rsid w:val="00C716DF"/>
    <w:rsid w:val="00CC2AEF"/>
    <w:rsid w:val="00E04B9C"/>
    <w:rsid w:val="00E15210"/>
    <w:rsid w:val="00E67153"/>
    <w:rsid w:val="00E9324B"/>
    <w:rsid w:val="00EA4659"/>
    <w:rsid w:val="00EC09CB"/>
    <w:rsid w:val="00F14B8E"/>
    <w:rsid w:val="00F67D65"/>
    <w:rsid w:val="00FA5BFD"/>
    <w:rsid w:val="00FB45B7"/>
    <w:rsid w:val="00FC54E8"/>
    <w:rsid w:val="00FD4537"/>
    <w:rsid w:val="00FE48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9EA4"/>
  <w15:chartTrackingRefBased/>
  <w15:docId w15:val="{1F894838-64B3-7D42-ADE9-93F2D1DA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C44CC3"/>
    <w:rPr>
      <w:rFonts w:ascii="Figtree" w:hAnsi="Figtree" w:cs="Times New Roman (Hoofdtekst CS)"/>
      <w:color w:val="0D0A42" w:themeColor="text1"/>
      <w:sz w:val="20"/>
    </w:rPr>
  </w:style>
  <w:style w:type="paragraph" w:styleId="Kop1">
    <w:name w:val="heading 1"/>
    <w:basedOn w:val="Standaard"/>
    <w:next w:val="Standaard"/>
    <w:link w:val="Kop1Char"/>
    <w:uiPriority w:val="9"/>
    <w:rsid w:val="004E6691"/>
    <w:pPr>
      <w:keepNext/>
      <w:keepLines/>
      <w:spacing w:before="360" w:after="80"/>
      <w:outlineLvl w:val="0"/>
    </w:pPr>
    <w:rPr>
      <w:rFonts w:asciiTheme="majorHAnsi" w:eastAsiaTheme="majorEastAsia" w:hAnsiTheme="majorHAnsi" w:cstheme="majorBidi"/>
      <w:color w:val="8B962B" w:themeColor="accent1" w:themeShade="BF"/>
      <w:sz w:val="40"/>
      <w:szCs w:val="40"/>
    </w:rPr>
  </w:style>
  <w:style w:type="paragraph" w:styleId="Kop2">
    <w:name w:val="heading 2"/>
    <w:basedOn w:val="Standaard"/>
    <w:next w:val="Standaard"/>
    <w:link w:val="Kop2Char"/>
    <w:uiPriority w:val="9"/>
    <w:semiHidden/>
    <w:unhideWhenUsed/>
    <w:rsid w:val="004E6691"/>
    <w:pPr>
      <w:keepNext/>
      <w:keepLines/>
      <w:spacing w:before="160" w:after="80"/>
      <w:outlineLvl w:val="1"/>
    </w:pPr>
    <w:rPr>
      <w:rFonts w:asciiTheme="majorHAnsi" w:eastAsiaTheme="majorEastAsia" w:hAnsiTheme="majorHAnsi" w:cstheme="majorBidi"/>
      <w:color w:val="8B962B" w:themeColor="accent1" w:themeShade="BF"/>
      <w:sz w:val="32"/>
      <w:szCs w:val="32"/>
    </w:rPr>
  </w:style>
  <w:style w:type="paragraph" w:styleId="Kop3">
    <w:name w:val="heading 3"/>
    <w:basedOn w:val="Standaard"/>
    <w:next w:val="Standaard"/>
    <w:link w:val="Kop3Char"/>
    <w:uiPriority w:val="9"/>
    <w:semiHidden/>
    <w:unhideWhenUsed/>
    <w:qFormat/>
    <w:rsid w:val="004E6691"/>
    <w:pPr>
      <w:keepNext/>
      <w:keepLines/>
      <w:spacing w:before="160" w:after="80"/>
      <w:outlineLvl w:val="2"/>
    </w:pPr>
    <w:rPr>
      <w:rFonts w:asciiTheme="minorHAnsi" w:eastAsiaTheme="majorEastAsia" w:hAnsiTheme="minorHAnsi" w:cstheme="majorBidi"/>
      <w:color w:val="8B962B" w:themeColor="accent1" w:themeShade="BF"/>
      <w:sz w:val="28"/>
      <w:szCs w:val="28"/>
    </w:rPr>
  </w:style>
  <w:style w:type="paragraph" w:styleId="Kop4">
    <w:name w:val="heading 4"/>
    <w:basedOn w:val="Standaard"/>
    <w:next w:val="Standaard"/>
    <w:link w:val="Kop4Char"/>
    <w:uiPriority w:val="9"/>
    <w:semiHidden/>
    <w:unhideWhenUsed/>
    <w:qFormat/>
    <w:rsid w:val="004E6691"/>
    <w:pPr>
      <w:keepNext/>
      <w:keepLines/>
      <w:spacing w:before="80" w:after="40"/>
      <w:outlineLvl w:val="3"/>
    </w:pPr>
    <w:rPr>
      <w:rFonts w:asciiTheme="minorHAnsi" w:eastAsiaTheme="majorEastAsia" w:hAnsiTheme="minorHAnsi" w:cstheme="majorBidi"/>
      <w:i/>
      <w:iCs/>
      <w:color w:val="8B962B" w:themeColor="accent1" w:themeShade="BF"/>
    </w:rPr>
  </w:style>
  <w:style w:type="paragraph" w:styleId="Kop5">
    <w:name w:val="heading 5"/>
    <w:basedOn w:val="Standaard"/>
    <w:next w:val="Standaard"/>
    <w:link w:val="Kop5Char"/>
    <w:uiPriority w:val="9"/>
    <w:semiHidden/>
    <w:unhideWhenUsed/>
    <w:qFormat/>
    <w:rsid w:val="004E6691"/>
    <w:pPr>
      <w:keepNext/>
      <w:keepLines/>
      <w:spacing w:before="80" w:after="40"/>
      <w:outlineLvl w:val="4"/>
    </w:pPr>
    <w:rPr>
      <w:rFonts w:asciiTheme="minorHAnsi" w:eastAsiaTheme="majorEastAsia" w:hAnsiTheme="minorHAnsi" w:cstheme="majorBidi"/>
      <w:color w:val="8B962B" w:themeColor="accent1" w:themeShade="BF"/>
    </w:rPr>
  </w:style>
  <w:style w:type="paragraph" w:styleId="Kop6">
    <w:name w:val="heading 6"/>
    <w:basedOn w:val="Standaard"/>
    <w:next w:val="Standaard"/>
    <w:link w:val="Kop6Char"/>
    <w:uiPriority w:val="9"/>
    <w:semiHidden/>
    <w:unhideWhenUsed/>
    <w:qFormat/>
    <w:rsid w:val="004E6691"/>
    <w:pPr>
      <w:keepNext/>
      <w:keepLines/>
      <w:spacing w:before="40"/>
      <w:outlineLvl w:val="5"/>
    </w:pPr>
    <w:rPr>
      <w:rFonts w:asciiTheme="minorHAnsi" w:eastAsiaTheme="majorEastAsia" w:hAnsiTheme="minorHAnsi" w:cstheme="majorBidi"/>
      <w:i/>
      <w:iCs/>
      <w:color w:val="261EC5" w:themeColor="text1" w:themeTint="A6"/>
    </w:rPr>
  </w:style>
  <w:style w:type="paragraph" w:styleId="Kop7">
    <w:name w:val="heading 7"/>
    <w:basedOn w:val="Standaard"/>
    <w:next w:val="Standaard"/>
    <w:link w:val="Kop7Char"/>
    <w:uiPriority w:val="9"/>
    <w:semiHidden/>
    <w:unhideWhenUsed/>
    <w:qFormat/>
    <w:rsid w:val="004E6691"/>
    <w:pPr>
      <w:keepNext/>
      <w:keepLines/>
      <w:spacing w:before="40"/>
      <w:outlineLvl w:val="6"/>
    </w:pPr>
    <w:rPr>
      <w:rFonts w:asciiTheme="minorHAnsi" w:eastAsiaTheme="majorEastAsia" w:hAnsiTheme="minorHAnsi" w:cstheme="majorBidi"/>
      <w:color w:val="261EC5" w:themeColor="text1" w:themeTint="A6"/>
    </w:rPr>
  </w:style>
  <w:style w:type="paragraph" w:styleId="Kop8">
    <w:name w:val="heading 8"/>
    <w:basedOn w:val="Standaard"/>
    <w:next w:val="Standaard"/>
    <w:link w:val="Kop8Char"/>
    <w:uiPriority w:val="9"/>
    <w:semiHidden/>
    <w:unhideWhenUsed/>
    <w:qFormat/>
    <w:rsid w:val="004E6691"/>
    <w:pPr>
      <w:keepNext/>
      <w:keepLines/>
      <w:outlineLvl w:val="7"/>
    </w:pPr>
    <w:rPr>
      <w:rFonts w:asciiTheme="minorHAnsi" w:eastAsiaTheme="majorEastAsia" w:hAnsiTheme="minorHAnsi" w:cstheme="majorBidi"/>
      <w:i/>
      <w:iCs/>
      <w:color w:val="18127B" w:themeColor="text1" w:themeTint="D8"/>
    </w:rPr>
  </w:style>
  <w:style w:type="paragraph" w:styleId="Kop9">
    <w:name w:val="heading 9"/>
    <w:basedOn w:val="Standaard"/>
    <w:next w:val="Standaard"/>
    <w:link w:val="Kop9Char"/>
    <w:uiPriority w:val="9"/>
    <w:semiHidden/>
    <w:unhideWhenUsed/>
    <w:qFormat/>
    <w:rsid w:val="004E6691"/>
    <w:pPr>
      <w:keepNext/>
      <w:keepLines/>
      <w:outlineLvl w:val="8"/>
    </w:pPr>
    <w:rPr>
      <w:rFonts w:asciiTheme="minorHAnsi" w:eastAsiaTheme="majorEastAsia" w:hAnsiTheme="minorHAnsi" w:cstheme="majorBidi"/>
      <w:color w:val="18127B"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rsid w:val="00764CF2"/>
    <w:pPr>
      <w:spacing w:before="240" w:after="240" w:line="240" w:lineRule="auto"/>
      <w:contextualSpacing/>
    </w:pPr>
    <w:rPr>
      <w:rFonts w:asciiTheme="majorHAnsi" w:eastAsiaTheme="majorEastAsia" w:hAnsiTheme="majorHAnsi" w:cstheme="majorBidi"/>
      <w:b/>
      <w:spacing w:val="-10"/>
      <w:kern w:val="28"/>
      <w:sz w:val="40"/>
      <w:szCs w:val="56"/>
    </w:rPr>
  </w:style>
  <w:style w:type="character" w:customStyle="1" w:styleId="TitelChar">
    <w:name w:val="Titel Char"/>
    <w:basedOn w:val="Standaardalinea-lettertype"/>
    <w:link w:val="Titel"/>
    <w:uiPriority w:val="10"/>
    <w:rsid w:val="00764CF2"/>
    <w:rPr>
      <w:rFonts w:asciiTheme="majorHAnsi" w:eastAsiaTheme="majorEastAsia" w:hAnsiTheme="majorHAnsi" w:cstheme="majorBidi"/>
      <w:b/>
      <w:color w:val="0D0A42" w:themeColor="text1"/>
      <w:spacing w:val="-10"/>
      <w:kern w:val="28"/>
      <w:sz w:val="40"/>
      <w:szCs w:val="56"/>
    </w:rPr>
  </w:style>
  <w:style w:type="paragraph" w:customStyle="1" w:styleId="TitelGeorgia">
    <w:name w:val="Titel Georgia"/>
    <w:basedOn w:val="Standaard"/>
    <w:rsid w:val="00CC2AEF"/>
    <w:pPr>
      <w:autoSpaceDE w:val="0"/>
      <w:autoSpaceDN w:val="0"/>
      <w:adjustRightInd w:val="0"/>
      <w:spacing w:line="200" w:lineRule="atLeast"/>
      <w:textAlignment w:val="center"/>
    </w:pPr>
    <w:rPr>
      <w:rFonts w:ascii="Georgia" w:hAnsi="Georgia" w:cs="Georgia"/>
      <w:b/>
      <w:bCs/>
      <w:color w:val="000000"/>
      <w:kern w:val="0"/>
      <w:sz w:val="48"/>
      <w:szCs w:val="48"/>
    </w:rPr>
  </w:style>
  <w:style w:type="paragraph" w:customStyle="1" w:styleId="H1">
    <w:name w:val="H1"/>
    <w:autoRedefine/>
    <w:uiPriority w:val="99"/>
    <w:qFormat/>
    <w:rsid w:val="004E6691"/>
    <w:pPr>
      <w:autoSpaceDE w:val="0"/>
      <w:autoSpaceDN w:val="0"/>
      <w:adjustRightInd w:val="0"/>
      <w:spacing w:line="240" w:lineRule="auto"/>
      <w:textAlignment w:val="center"/>
    </w:pPr>
    <w:rPr>
      <w:rFonts w:ascii="Figtree" w:hAnsi="Figtree" w:cs="Arial"/>
      <w:b/>
      <w:color w:val="0D0A42" w:themeColor="text1"/>
      <w:kern w:val="0"/>
      <w:sz w:val="38"/>
      <w:szCs w:val="18"/>
    </w:rPr>
  </w:style>
  <w:style w:type="paragraph" w:customStyle="1" w:styleId="H2">
    <w:name w:val="H2"/>
    <w:autoRedefine/>
    <w:qFormat/>
    <w:rsid w:val="00977F27"/>
    <w:pPr>
      <w:spacing w:line="240" w:lineRule="auto"/>
    </w:pPr>
    <w:rPr>
      <w:rFonts w:ascii="Figtree" w:hAnsi="Figtree" w:cs="Times New Roman (Hoofdtekst CS)"/>
      <w:b/>
      <w:color w:val="0D0A42" w:themeColor="text1"/>
      <w:sz w:val="32"/>
    </w:rPr>
  </w:style>
  <w:style w:type="paragraph" w:customStyle="1" w:styleId="SubtitelArial">
    <w:name w:val="Subtitel Arial"/>
    <w:basedOn w:val="Standaard"/>
    <w:autoRedefine/>
    <w:rsid w:val="00CC2AEF"/>
    <w:pPr>
      <w:autoSpaceDE w:val="0"/>
      <w:autoSpaceDN w:val="0"/>
      <w:adjustRightInd w:val="0"/>
      <w:textAlignment w:val="center"/>
    </w:pPr>
    <w:rPr>
      <w:rFonts w:cs="Arial"/>
      <w:b/>
      <w:bCs/>
      <w:kern w:val="0"/>
      <w:sz w:val="21"/>
      <w:szCs w:val="21"/>
    </w:rPr>
  </w:style>
  <w:style w:type="character" w:customStyle="1" w:styleId="Kop1Char">
    <w:name w:val="Kop 1 Char"/>
    <w:basedOn w:val="Standaardalinea-lettertype"/>
    <w:link w:val="Kop1"/>
    <w:uiPriority w:val="9"/>
    <w:rsid w:val="004E6691"/>
    <w:rPr>
      <w:rFonts w:asciiTheme="majorHAnsi" w:eastAsiaTheme="majorEastAsia" w:hAnsiTheme="majorHAnsi" w:cstheme="majorBidi"/>
      <w:color w:val="8B962B" w:themeColor="accent1" w:themeShade="BF"/>
      <w:sz w:val="40"/>
      <w:szCs w:val="40"/>
    </w:rPr>
  </w:style>
  <w:style w:type="character" w:customStyle="1" w:styleId="Kop2Char">
    <w:name w:val="Kop 2 Char"/>
    <w:basedOn w:val="Standaardalinea-lettertype"/>
    <w:link w:val="Kop2"/>
    <w:uiPriority w:val="9"/>
    <w:semiHidden/>
    <w:rsid w:val="004E6691"/>
    <w:rPr>
      <w:rFonts w:asciiTheme="majorHAnsi" w:eastAsiaTheme="majorEastAsia" w:hAnsiTheme="majorHAnsi" w:cstheme="majorBidi"/>
      <w:color w:val="8B962B" w:themeColor="accent1" w:themeShade="BF"/>
      <w:sz w:val="32"/>
      <w:szCs w:val="32"/>
    </w:rPr>
  </w:style>
  <w:style w:type="character" w:customStyle="1" w:styleId="Kop3Char">
    <w:name w:val="Kop 3 Char"/>
    <w:basedOn w:val="Standaardalinea-lettertype"/>
    <w:link w:val="Kop3"/>
    <w:uiPriority w:val="9"/>
    <w:semiHidden/>
    <w:rsid w:val="004E6691"/>
    <w:rPr>
      <w:rFonts w:eastAsiaTheme="majorEastAsia" w:cstheme="majorBidi"/>
      <w:color w:val="8B962B" w:themeColor="accent1" w:themeShade="BF"/>
      <w:sz w:val="28"/>
      <w:szCs w:val="28"/>
    </w:rPr>
  </w:style>
  <w:style w:type="character" w:customStyle="1" w:styleId="Kop4Char">
    <w:name w:val="Kop 4 Char"/>
    <w:basedOn w:val="Standaardalinea-lettertype"/>
    <w:link w:val="Kop4"/>
    <w:uiPriority w:val="9"/>
    <w:semiHidden/>
    <w:rsid w:val="004E6691"/>
    <w:rPr>
      <w:rFonts w:eastAsiaTheme="majorEastAsia" w:cstheme="majorBidi"/>
      <w:i/>
      <w:iCs/>
      <w:color w:val="8B962B" w:themeColor="accent1" w:themeShade="BF"/>
      <w:sz w:val="18"/>
    </w:rPr>
  </w:style>
  <w:style w:type="character" w:customStyle="1" w:styleId="Kop5Char">
    <w:name w:val="Kop 5 Char"/>
    <w:basedOn w:val="Standaardalinea-lettertype"/>
    <w:link w:val="Kop5"/>
    <w:uiPriority w:val="9"/>
    <w:semiHidden/>
    <w:rsid w:val="004E6691"/>
    <w:rPr>
      <w:rFonts w:eastAsiaTheme="majorEastAsia" w:cstheme="majorBidi"/>
      <w:color w:val="8B962B" w:themeColor="accent1" w:themeShade="BF"/>
      <w:sz w:val="18"/>
    </w:rPr>
  </w:style>
  <w:style w:type="character" w:customStyle="1" w:styleId="Kop6Char">
    <w:name w:val="Kop 6 Char"/>
    <w:basedOn w:val="Standaardalinea-lettertype"/>
    <w:link w:val="Kop6"/>
    <w:uiPriority w:val="9"/>
    <w:semiHidden/>
    <w:rsid w:val="004E6691"/>
    <w:rPr>
      <w:rFonts w:eastAsiaTheme="majorEastAsia" w:cstheme="majorBidi"/>
      <w:i/>
      <w:iCs/>
      <w:color w:val="261EC5" w:themeColor="text1" w:themeTint="A6"/>
      <w:sz w:val="18"/>
    </w:rPr>
  </w:style>
  <w:style w:type="character" w:customStyle="1" w:styleId="Kop7Char">
    <w:name w:val="Kop 7 Char"/>
    <w:basedOn w:val="Standaardalinea-lettertype"/>
    <w:link w:val="Kop7"/>
    <w:uiPriority w:val="9"/>
    <w:semiHidden/>
    <w:rsid w:val="004E6691"/>
    <w:rPr>
      <w:rFonts w:eastAsiaTheme="majorEastAsia" w:cstheme="majorBidi"/>
      <w:color w:val="261EC5" w:themeColor="text1" w:themeTint="A6"/>
      <w:sz w:val="18"/>
    </w:rPr>
  </w:style>
  <w:style w:type="character" w:customStyle="1" w:styleId="Kop8Char">
    <w:name w:val="Kop 8 Char"/>
    <w:basedOn w:val="Standaardalinea-lettertype"/>
    <w:link w:val="Kop8"/>
    <w:uiPriority w:val="9"/>
    <w:semiHidden/>
    <w:rsid w:val="004E6691"/>
    <w:rPr>
      <w:rFonts w:eastAsiaTheme="majorEastAsia" w:cstheme="majorBidi"/>
      <w:i/>
      <w:iCs/>
      <w:color w:val="18127B" w:themeColor="text1" w:themeTint="D8"/>
      <w:sz w:val="18"/>
    </w:rPr>
  </w:style>
  <w:style w:type="character" w:customStyle="1" w:styleId="Kop9Char">
    <w:name w:val="Kop 9 Char"/>
    <w:basedOn w:val="Standaardalinea-lettertype"/>
    <w:link w:val="Kop9"/>
    <w:uiPriority w:val="9"/>
    <w:semiHidden/>
    <w:rsid w:val="004E6691"/>
    <w:rPr>
      <w:rFonts w:eastAsiaTheme="majorEastAsia" w:cstheme="majorBidi"/>
      <w:color w:val="18127B" w:themeColor="text1" w:themeTint="D8"/>
      <w:sz w:val="18"/>
    </w:rPr>
  </w:style>
  <w:style w:type="paragraph" w:styleId="Ondertitel">
    <w:name w:val="Subtitle"/>
    <w:basedOn w:val="Standaard"/>
    <w:next w:val="Standaard"/>
    <w:link w:val="OndertitelChar"/>
    <w:uiPriority w:val="11"/>
    <w:rsid w:val="004E6691"/>
    <w:pPr>
      <w:numPr>
        <w:ilvl w:val="1"/>
      </w:numPr>
    </w:pPr>
    <w:rPr>
      <w:rFonts w:asciiTheme="minorHAnsi" w:eastAsiaTheme="majorEastAsia" w:hAnsiTheme="minorHAnsi" w:cstheme="majorBidi"/>
      <w:color w:val="261EC5" w:themeColor="text1" w:themeTint="A6"/>
      <w:spacing w:val="15"/>
      <w:sz w:val="28"/>
      <w:szCs w:val="28"/>
    </w:rPr>
  </w:style>
  <w:style w:type="character" w:customStyle="1" w:styleId="OndertitelChar">
    <w:name w:val="Ondertitel Char"/>
    <w:basedOn w:val="Standaardalinea-lettertype"/>
    <w:link w:val="Ondertitel"/>
    <w:uiPriority w:val="11"/>
    <w:rsid w:val="004E6691"/>
    <w:rPr>
      <w:rFonts w:eastAsiaTheme="majorEastAsia" w:cstheme="majorBidi"/>
      <w:color w:val="261EC5" w:themeColor="text1" w:themeTint="A6"/>
      <w:spacing w:val="15"/>
      <w:sz w:val="28"/>
      <w:szCs w:val="28"/>
    </w:rPr>
  </w:style>
  <w:style w:type="paragraph" w:styleId="Citaat">
    <w:name w:val="Quote"/>
    <w:basedOn w:val="Standaard"/>
    <w:next w:val="Standaard"/>
    <w:link w:val="CitaatChar"/>
    <w:uiPriority w:val="29"/>
    <w:rsid w:val="004E6691"/>
    <w:pPr>
      <w:spacing w:before="160"/>
      <w:jc w:val="center"/>
    </w:pPr>
    <w:rPr>
      <w:i/>
      <w:iCs/>
      <w:color w:val="1F18A0" w:themeColor="text1" w:themeTint="BF"/>
    </w:rPr>
  </w:style>
  <w:style w:type="character" w:customStyle="1" w:styleId="CitaatChar">
    <w:name w:val="Citaat Char"/>
    <w:basedOn w:val="Standaardalinea-lettertype"/>
    <w:link w:val="Citaat"/>
    <w:uiPriority w:val="29"/>
    <w:rsid w:val="004E6691"/>
    <w:rPr>
      <w:rFonts w:ascii="Arial" w:hAnsi="Arial" w:cs="Times New Roman (Hoofdtekst CS)"/>
      <w:i/>
      <w:iCs/>
      <w:color w:val="1F18A0" w:themeColor="text1" w:themeTint="BF"/>
      <w:sz w:val="18"/>
    </w:rPr>
  </w:style>
  <w:style w:type="paragraph" w:styleId="Lijstalinea">
    <w:name w:val="List Paragraph"/>
    <w:basedOn w:val="Standaard"/>
    <w:uiPriority w:val="34"/>
    <w:rsid w:val="004E6691"/>
    <w:pPr>
      <w:ind w:left="720"/>
      <w:contextualSpacing/>
    </w:pPr>
  </w:style>
  <w:style w:type="character" w:styleId="Intensievebenadrukking">
    <w:name w:val="Intense Emphasis"/>
    <w:basedOn w:val="Standaardalinea-lettertype"/>
    <w:uiPriority w:val="21"/>
    <w:rsid w:val="004E6691"/>
    <w:rPr>
      <w:i/>
      <w:iCs/>
      <w:color w:val="8B962B" w:themeColor="accent1" w:themeShade="BF"/>
    </w:rPr>
  </w:style>
  <w:style w:type="paragraph" w:styleId="Duidelijkcitaat">
    <w:name w:val="Intense Quote"/>
    <w:basedOn w:val="Standaard"/>
    <w:next w:val="Standaard"/>
    <w:link w:val="DuidelijkcitaatChar"/>
    <w:uiPriority w:val="30"/>
    <w:rsid w:val="004E6691"/>
    <w:pPr>
      <w:pBdr>
        <w:top w:val="single" w:sz="4" w:space="10" w:color="8B962B" w:themeColor="accent1" w:themeShade="BF"/>
        <w:bottom w:val="single" w:sz="4" w:space="10" w:color="8B962B" w:themeColor="accent1" w:themeShade="BF"/>
      </w:pBdr>
      <w:spacing w:before="360" w:after="360"/>
      <w:ind w:left="864" w:right="864"/>
      <w:jc w:val="center"/>
    </w:pPr>
    <w:rPr>
      <w:i/>
      <w:iCs/>
      <w:color w:val="8B962B" w:themeColor="accent1" w:themeShade="BF"/>
    </w:rPr>
  </w:style>
  <w:style w:type="character" w:customStyle="1" w:styleId="DuidelijkcitaatChar">
    <w:name w:val="Duidelijk citaat Char"/>
    <w:basedOn w:val="Standaardalinea-lettertype"/>
    <w:link w:val="Duidelijkcitaat"/>
    <w:uiPriority w:val="30"/>
    <w:rsid w:val="004E6691"/>
    <w:rPr>
      <w:rFonts w:ascii="Arial" w:hAnsi="Arial" w:cs="Times New Roman (Hoofdtekst CS)"/>
      <w:i/>
      <w:iCs/>
      <w:color w:val="8B962B" w:themeColor="accent1" w:themeShade="BF"/>
      <w:sz w:val="18"/>
    </w:rPr>
  </w:style>
  <w:style w:type="character" w:styleId="Intensieveverwijzing">
    <w:name w:val="Intense Reference"/>
    <w:basedOn w:val="Standaardalinea-lettertype"/>
    <w:uiPriority w:val="32"/>
    <w:rsid w:val="004E6691"/>
    <w:rPr>
      <w:b/>
      <w:bCs/>
      <w:smallCaps/>
      <w:color w:val="8B962B" w:themeColor="accent1" w:themeShade="BF"/>
      <w:spacing w:val="5"/>
    </w:rPr>
  </w:style>
  <w:style w:type="paragraph" w:styleId="Koptekst">
    <w:name w:val="header"/>
    <w:basedOn w:val="Standaard"/>
    <w:link w:val="KoptekstChar"/>
    <w:uiPriority w:val="99"/>
    <w:unhideWhenUsed/>
    <w:rsid w:val="004E66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6691"/>
    <w:rPr>
      <w:rFonts w:ascii="Arial" w:hAnsi="Arial" w:cs="Times New Roman (Hoofdtekst CS)"/>
      <w:color w:val="0D0A42" w:themeColor="text1"/>
      <w:sz w:val="18"/>
    </w:rPr>
  </w:style>
  <w:style w:type="paragraph" w:styleId="Voettekst">
    <w:name w:val="footer"/>
    <w:basedOn w:val="Standaard"/>
    <w:link w:val="VoettekstChar"/>
    <w:uiPriority w:val="99"/>
    <w:unhideWhenUsed/>
    <w:rsid w:val="004E669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E6691"/>
    <w:rPr>
      <w:rFonts w:ascii="Arial" w:hAnsi="Arial" w:cs="Times New Roman (Hoofdtekst CS)"/>
      <w:color w:val="0D0A42" w:themeColor="text1"/>
      <w:sz w:val="18"/>
    </w:rPr>
  </w:style>
  <w:style w:type="paragraph" w:customStyle="1" w:styleId="H3">
    <w:name w:val="H3"/>
    <w:qFormat/>
    <w:rsid w:val="00977F27"/>
    <w:pPr>
      <w:spacing w:line="320" w:lineRule="exact"/>
    </w:pPr>
    <w:rPr>
      <w:rFonts w:ascii="Figtree" w:hAnsi="Figtree" w:cs="Times New Roman (Hoofdtekst CS)"/>
      <w:b/>
      <w:color w:val="0D0A42" w:themeColor="text1"/>
      <w:sz w:val="26"/>
    </w:rPr>
  </w:style>
  <w:style w:type="paragraph" w:customStyle="1" w:styleId="H4">
    <w:name w:val="H4"/>
    <w:qFormat/>
    <w:rsid w:val="00977F27"/>
    <w:pPr>
      <w:spacing w:line="240" w:lineRule="auto"/>
    </w:pPr>
    <w:rPr>
      <w:rFonts w:ascii="Figtree Medium" w:hAnsi="Figtree Medium" w:cs="Times New Roman (Hoofdtekst CS)"/>
      <w:color w:val="0D0A42" w:themeColor="text1"/>
      <w:sz w:val="26"/>
    </w:rPr>
  </w:style>
  <w:style w:type="paragraph" w:customStyle="1" w:styleId="Intro">
    <w:name w:val="Intro"/>
    <w:qFormat/>
    <w:rsid w:val="0029598A"/>
    <w:pPr>
      <w:spacing w:line="240" w:lineRule="auto"/>
    </w:pPr>
    <w:rPr>
      <w:rFonts w:ascii="Safiro SemiBold" w:hAnsi="Safiro SemiBold" w:cs="Times New Roman (Hoofdtekst CS)"/>
      <w:b/>
      <w:color w:val="0D0A42" w:themeColor="text1"/>
      <w:sz w:val="22"/>
    </w:rPr>
  </w:style>
  <w:style w:type="paragraph" w:customStyle="1" w:styleId="Opsomming">
    <w:name w:val="Opsomming"/>
    <w:basedOn w:val="Lijstalinea"/>
    <w:qFormat/>
    <w:rsid w:val="00977F27"/>
    <w:pPr>
      <w:numPr>
        <w:numId w:val="33"/>
      </w:numPr>
    </w:pPr>
  </w:style>
  <w:style w:type="paragraph" w:customStyle="1" w:styleId="Subopsomming">
    <w:name w:val="Subopsomming"/>
    <w:rsid w:val="00977F27"/>
    <w:pPr>
      <w:ind w:left="454" w:hanging="454"/>
    </w:pPr>
    <w:rPr>
      <w:rFonts w:ascii="Figtree" w:hAnsi="Figtree" w:cs="Times New Roman (Hoofdtekst CS)"/>
      <w:color w:val="0D0A42" w:themeColor="text1"/>
      <w:sz w:val="20"/>
    </w:rPr>
  </w:style>
  <w:style w:type="paragraph" w:customStyle="1" w:styleId="SubOpsomming-">
    <w:name w:val="SubOpsomming -"/>
    <w:basedOn w:val="Subopsomming"/>
    <w:autoRedefine/>
    <w:qFormat/>
    <w:rsid w:val="00977F27"/>
    <w:pPr>
      <w:numPr>
        <w:numId w:val="19"/>
      </w:numPr>
    </w:pPr>
  </w:style>
  <w:style w:type="paragraph" w:customStyle="1" w:styleId="Subopsomming3">
    <w:name w:val="Subopsomming 3"/>
    <w:autoRedefine/>
    <w:rsid w:val="0029598A"/>
    <w:pPr>
      <w:spacing w:line="240" w:lineRule="auto"/>
    </w:pPr>
    <w:rPr>
      <w:rFonts w:ascii="Figtree" w:hAnsi="Figtree" w:cs="Times New Roman (Hoofdtekst CS)"/>
      <w:b/>
      <w:color w:val="B9C73B" w:themeColor="accent1"/>
      <w:sz w:val="20"/>
    </w:rPr>
  </w:style>
  <w:style w:type="paragraph" w:customStyle="1" w:styleId="Opsommingen">
    <w:name w:val="Opsommingen"/>
    <w:basedOn w:val="Standaard"/>
    <w:uiPriority w:val="99"/>
    <w:rsid w:val="00977F27"/>
    <w:pPr>
      <w:tabs>
        <w:tab w:val="left" w:pos="454"/>
      </w:tabs>
      <w:autoSpaceDE w:val="0"/>
      <w:autoSpaceDN w:val="0"/>
      <w:adjustRightInd w:val="0"/>
      <w:spacing w:line="280" w:lineRule="atLeast"/>
      <w:textAlignment w:val="center"/>
    </w:pPr>
    <w:rPr>
      <w:rFonts w:cs="Figtree"/>
      <w:color w:val="1A0A40"/>
      <w:kern w:val="0"/>
      <w:szCs w:val="20"/>
    </w:rPr>
  </w:style>
  <w:style w:type="numbering" w:customStyle="1" w:styleId="Huidigelijst1">
    <w:name w:val="Huidige lijst1"/>
    <w:uiPriority w:val="99"/>
    <w:rsid w:val="00977F27"/>
    <w:pPr>
      <w:numPr>
        <w:numId w:val="18"/>
      </w:numPr>
    </w:pPr>
  </w:style>
  <w:style w:type="numbering" w:customStyle="1" w:styleId="Huidigelijst2">
    <w:name w:val="Huidige lijst2"/>
    <w:uiPriority w:val="99"/>
    <w:rsid w:val="00977F27"/>
    <w:pPr>
      <w:numPr>
        <w:numId w:val="22"/>
      </w:numPr>
    </w:pPr>
  </w:style>
  <w:style w:type="numbering" w:customStyle="1" w:styleId="Huidigelijst3">
    <w:name w:val="Huidige lijst3"/>
    <w:uiPriority w:val="99"/>
    <w:rsid w:val="00977F27"/>
    <w:pPr>
      <w:numPr>
        <w:numId w:val="23"/>
      </w:numPr>
    </w:pPr>
  </w:style>
  <w:style w:type="numbering" w:customStyle="1" w:styleId="Huidigelijst4">
    <w:name w:val="Huidige lijst4"/>
    <w:uiPriority w:val="99"/>
    <w:rsid w:val="00977F27"/>
    <w:pPr>
      <w:numPr>
        <w:numId w:val="24"/>
      </w:numPr>
    </w:pPr>
  </w:style>
  <w:style w:type="numbering" w:customStyle="1" w:styleId="Huidigelijst5">
    <w:name w:val="Huidige lijst5"/>
    <w:uiPriority w:val="99"/>
    <w:rsid w:val="00977F27"/>
    <w:pPr>
      <w:numPr>
        <w:numId w:val="26"/>
      </w:numPr>
    </w:pPr>
  </w:style>
  <w:style w:type="numbering" w:customStyle="1" w:styleId="Huidigelijst6">
    <w:name w:val="Huidige lijst6"/>
    <w:uiPriority w:val="99"/>
    <w:rsid w:val="00977F27"/>
    <w:pPr>
      <w:numPr>
        <w:numId w:val="27"/>
      </w:numPr>
    </w:pPr>
  </w:style>
  <w:style w:type="numbering" w:customStyle="1" w:styleId="Huidigelijst7">
    <w:name w:val="Huidige lijst7"/>
    <w:uiPriority w:val="99"/>
    <w:rsid w:val="00977F27"/>
    <w:pPr>
      <w:numPr>
        <w:numId w:val="28"/>
      </w:numPr>
    </w:pPr>
  </w:style>
  <w:style w:type="numbering" w:customStyle="1" w:styleId="Huidigelijst8">
    <w:name w:val="Huidige lijst8"/>
    <w:uiPriority w:val="99"/>
    <w:rsid w:val="00977F27"/>
    <w:pPr>
      <w:numPr>
        <w:numId w:val="29"/>
      </w:numPr>
    </w:pPr>
  </w:style>
  <w:style w:type="paragraph" w:customStyle="1" w:styleId="Onderschrift">
    <w:name w:val="Onderschrift"/>
    <w:qFormat/>
    <w:rsid w:val="0029598A"/>
    <w:pPr>
      <w:spacing w:line="360" w:lineRule="auto"/>
    </w:pPr>
    <w:rPr>
      <w:rFonts w:ascii="Figtree" w:hAnsi="Figtree" w:cs="Times New Roman (Hoofdtekst CS)"/>
      <w:i/>
      <w:color w:val="0D0A42" w:themeColor="text1"/>
      <w:sz w:val="20"/>
    </w:rPr>
  </w:style>
  <w:style w:type="table" w:styleId="Tabelraster">
    <w:name w:val="Table Grid"/>
    <w:basedOn w:val="Standaardtabel"/>
    <w:uiPriority w:val="39"/>
    <w:rsid w:val="00C33B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GS-Tabel">
    <w:name w:val="VGS - Tabel"/>
    <w:basedOn w:val="Standaardtabel"/>
    <w:uiPriority w:val="99"/>
    <w:rsid w:val="00C33B14"/>
    <w:pPr>
      <w:spacing w:line="240" w:lineRule="auto"/>
    </w:pPr>
    <w:rPr>
      <w:rFonts w:ascii="Figtree" w:hAnsi="Figtree"/>
      <w:color w:val="0D0A42" w:themeColor="text1"/>
      <w:sz w:val="18"/>
    </w:rPr>
    <w:tblPr>
      <w:tblStyleRowBandSize w:val="1"/>
    </w:tblPr>
    <w:tcPr>
      <w:vAlign w:val="center"/>
    </w:tcPr>
    <w:tblStylePr w:type="firstRow">
      <w:rPr>
        <w:rFonts w:ascii="Safiro" w:hAnsi="Safiro"/>
        <w:b/>
        <w:i w:val="0"/>
        <w:color w:val="B9C73A" w:themeColor="background1"/>
        <w:w w:val="100"/>
        <w:sz w:val="20"/>
      </w:rPr>
      <w:tblPr/>
      <w:tcPr>
        <w:shd w:val="clear" w:color="auto" w:fill="0D0A42" w:themeFill="text1"/>
      </w:tcPr>
    </w:tblStylePr>
    <w:tblStylePr w:type="firstCol">
      <w:rPr>
        <w:rFonts w:ascii="Figtree" w:hAnsi="Figtree"/>
        <w:b w:val="0"/>
        <w:i w:val="0"/>
        <w:color w:val="0D0A42" w:themeColor="text1"/>
        <w:sz w:val="20"/>
      </w:rPr>
    </w:tblStylePr>
    <w:tblStylePr w:type="lastCol">
      <w:rPr>
        <w:rFonts w:ascii="Safiro" w:hAnsi="Safiro"/>
        <w:b/>
        <w:i w:val="0"/>
        <w:color w:val="B9C73A" w:themeColor="background1"/>
        <w:sz w:val="20"/>
      </w:rPr>
    </w:tblStylePr>
    <w:tblStylePr w:type="band1Horz">
      <w:rPr>
        <w:rFonts w:ascii="Figtree" w:hAnsi="Figtree"/>
        <w:b w:val="0"/>
        <w:i w:val="0"/>
        <w:color w:val="0D0A42" w:themeColor="text1"/>
        <w:sz w:val="18"/>
      </w:rPr>
      <w:tblPr/>
      <w:tcPr>
        <w:shd w:val="clear" w:color="auto" w:fill="FFFFFF" w:themeFill="background2"/>
      </w:tcPr>
    </w:tblStylePr>
    <w:tblStylePr w:type="band2Horz">
      <w:rPr>
        <w:rFonts w:ascii="Figtree" w:hAnsi="Figtree"/>
        <w:b w:val="0"/>
        <w:i w:val="0"/>
        <w:color w:val="0D0A42" w:themeColor="text1"/>
        <w:sz w:val="18"/>
      </w:rPr>
      <w:tblPr/>
      <w:tcPr>
        <w:shd w:val="clear" w:color="auto" w:fill="ECE6E2" w:themeFill="accent2"/>
      </w:tcPr>
    </w:tblStylePr>
    <w:tblStylePr w:type="neCell">
      <w:rPr>
        <w:rFonts w:ascii="Safiro" w:hAnsi="Safiro"/>
        <w:b/>
        <w:i w:val="0"/>
        <w:color w:val="B9C73A" w:themeColor="background1"/>
        <w:sz w:val="20"/>
      </w:rPr>
      <w:tblPr/>
      <w:tcPr>
        <w:tcBorders>
          <w:top w:val="nil"/>
          <w:left w:val="nil"/>
          <w:bottom w:val="nil"/>
          <w:right w:val="nil"/>
          <w:insideH w:val="nil"/>
          <w:insideV w:val="nil"/>
          <w:tl2br w:val="nil"/>
          <w:tr2bl w:val="nil"/>
        </w:tcBorders>
        <w:noWrap/>
      </w:tcPr>
    </w:tblStylePr>
    <w:tblStylePr w:type="nwCell">
      <w:rPr>
        <w:rFonts w:ascii="Safiro" w:hAnsi="Safiro"/>
        <w:b/>
        <w:i w:val="0"/>
        <w:color w:val="B9C73A" w:themeColor="background1"/>
        <w:sz w:val="20"/>
      </w:rPr>
    </w:tblStylePr>
  </w:style>
  <w:style w:type="table" w:styleId="Onopgemaaktetabel2">
    <w:name w:val="Plain Table 2"/>
    <w:basedOn w:val="Standaardtabel"/>
    <w:uiPriority w:val="42"/>
    <w:rsid w:val="00C33B14"/>
    <w:pPr>
      <w:spacing w:line="240" w:lineRule="auto"/>
    </w:pPr>
    <w:tblPr>
      <w:tblStyleRowBandSize w:val="1"/>
      <w:tblStyleColBandSize w:val="1"/>
      <w:tblBorders>
        <w:top w:val="single" w:sz="4" w:space="0" w:color="4941E2" w:themeColor="text1" w:themeTint="80"/>
        <w:bottom w:val="single" w:sz="4" w:space="0" w:color="4941E2" w:themeColor="text1" w:themeTint="80"/>
      </w:tblBorders>
    </w:tblPr>
    <w:tblStylePr w:type="firstRow">
      <w:rPr>
        <w:b/>
        <w:bCs/>
      </w:rPr>
      <w:tblPr/>
      <w:tcPr>
        <w:tcBorders>
          <w:bottom w:val="single" w:sz="4" w:space="0" w:color="4941E2" w:themeColor="text1" w:themeTint="80"/>
        </w:tcBorders>
      </w:tcPr>
    </w:tblStylePr>
    <w:tblStylePr w:type="lastRow">
      <w:rPr>
        <w:b/>
        <w:bCs/>
      </w:rPr>
      <w:tblPr/>
      <w:tcPr>
        <w:tcBorders>
          <w:top w:val="single" w:sz="4" w:space="0" w:color="4941E2" w:themeColor="text1" w:themeTint="80"/>
        </w:tcBorders>
      </w:tcPr>
    </w:tblStylePr>
    <w:tblStylePr w:type="firstCol">
      <w:rPr>
        <w:b/>
        <w:bCs/>
      </w:rPr>
    </w:tblStylePr>
    <w:tblStylePr w:type="lastCol">
      <w:rPr>
        <w:b/>
        <w:bCs/>
      </w:rPr>
    </w:tblStylePr>
    <w:tblStylePr w:type="band1Vert">
      <w:tblPr/>
      <w:tcPr>
        <w:tcBorders>
          <w:left w:val="single" w:sz="4" w:space="0" w:color="4941E2" w:themeColor="text1" w:themeTint="80"/>
          <w:right w:val="single" w:sz="4" w:space="0" w:color="4941E2" w:themeColor="text1" w:themeTint="80"/>
        </w:tcBorders>
      </w:tcPr>
    </w:tblStylePr>
    <w:tblStylePr w:type="band2Vert">
      <w:tblPr/>
      <w:tcPr>
        <w:tcBorders>
          <w:left w:val="single" w:sz="4" w:space="0" w:color="4941E2" w:themeColor="text1" w:themeTint="80"/>
          <w:right w:val="single" w:sz="4" w:space="0" w:color="4941E2" w:themeColor="text1" w:themeTint="80"/>
        </w:tcBorders>
      </w:tcPr>
    </w:tblStylePr>
    <w:tblStylePr w:type="band1Horz">
      <w:tblPr/>
      <w:tcPr>
        <w:tcBorders>
          <w:top w:val="single" w:sz="4" w:space="0" w:color="4941E2" w:themeColor="text1" w:themeTint="80"/>
          <w:bottom w:val="single" w:sz="4" w:space="0" w:color="4941E2" w:themeColor="text1" w:themeTint="80"/>
        </w:tcBorders>
      </w:tcPr>
    </w:tblStylePr>
  </w:style>
  <w:style w:type="paragraph" w:styleId="Normaalweb">
    <w:name w:val="Normal (Web)"/>
    <w:basedOn w:val="Standaard"/>
    <w:uiPriority w:val="99"/>
    <w:semiHidden/>
    <w:unhideWhenUsed/>
    <w:rsid w:val="00C567DD"/>
    <w:pPr>
      <w:spacing w:before="100" w:beforeAutospacing="1" w:after="100" w:afterAutospacing="1" w:line="240" w:lineRule="auto"/>
    </w:pPr>
    <w:rPr>
      <w:rFonts w:ascii="Times New Roman" w:eastAsia="Times New Roman" w:hAnsi="Times New Roman" w:cs="Times New Roman"/>
      <w:color w:val="auto"/>
      <w:kern w:val="0"/>
      <w:sz w:val="24"/>
      <w:lang w:eastAsia="nl-NL"/>
      <w14:ligatures w14:val="none"/>
    </w:rPr>
  </w:style>
  <w:style w:type="paragraph" w:customStyle="1" w:styleId="Cijferopsomming">
    <w:name w:val="Cijfer opsomming"/>
    <w:basedOn w:val="SubOpsomming-"/>
    <w:qFormat/>
    <w:rsid w:val="0014243A"/>
    <w:pPr>
      <w:numPr>
        <w:numId w:val="35"/>
      </w:numPr>
    </w:pPr>
  </w:style>
  <w:style w:type="paragraph" w:customStyle="1" w:styleId="Letteropsomming">
    <w:name w:val="Letter opsomming"/>
    <w:basedOn w:val="Cijferopsomming"/>
    <w:qFormat/>
    <w:rsid w:val="003E4969"/>
    <w:pPr>
      <w:numPr>
        <w:numId w:val="36"/>
      </w:numPr>
    </w:pPr>
  </w:style>
  <w:style w:type="paragraph" w:customStyle="1" w:styleId="Kader1">
    <w:name w:val="Kader 1"/>
    <w:qFormat/>
    <w:rsid w:val="00C44CC3"/>
    <w:pPr>
      <w:spacing w:line="240" w:lineRule="auto"/>
    </w:pPr>
    <w:rPr>
      <w:rFonts w:ascii="Safiro" w:hAnsi="Safiro" w:cs="Arial"/>
      <w:color w:val="0D0A42" w:themeColor="text1"/>
      <w:kern w:val="0"/>
      <w:sz w:val="38"/>
      <w:szCs w:val="18"/>
    </w:rPr>
  </w:style>
  <w:style w:type="character" w:styleId="Hyperlink">
    <w:name w:val="Hyperlink"/>
    <w:basedOn w:val="Standaardalinea-lettertype"/>
    <w:uiPriority w:val="99"/>
    <w:unhideWhenUsed/>
    <w:rsid w:val="0056327F"/>
    <w:rPr>
      <w:color w:val="0D0A4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k.nl/project/vormingswer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etasonline.nl/wintercursus-nadere-reformat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ersteldhervormdekerk.nl/hhk/toerusting/cursus-bijbelse-toerusting" TargetMode="External"/><Relationship Id="rId4" Type="http://schemas.openxmlformats.org/officeDocument/2006/relationships/settings" Target="settings.xml"/><Relationship Id="rId9" Type="http://schemas.openxmlformats.org/officeDocument/2006/relationships/hyperlink" Target="https://www.cgo.nu/toerust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bertSimonse\Downloads\2513886-VGS-Office%20sjablonen-V2\2513886_VGS_Word_Advies%20&amp;%20Administratie.dotx" TargetMode="External"/></Relationships>
</file>

<file path=word/theme/theme1.xml><?xml version="1.0" encoding="utf-8"?>
<a:theme xmlns:a="http://schemas.openxmlformats.org/drawingml/2006/main" name="VGS">
  <a:themeElements>
    <a:clrScheme name="VGS">
      <a:dk1>
        <a:srgbClr val="0D0A42"/>
      </a:dk1>
      <a:lt1>
        <a:srgbClr val="B9C73A"/>
      </a:lt1>
      <a:dk2>
        <a:srgbClr val="0D0B43"/>
      </a:dk2>
      <a:lt2>
        <a:srgbClr val="FFFFFF"/>
      </a:lt2>
      <a:accent1>
        <a:srgbClr val="B9C73B"/>
      </a:accent1>
      <a:accent2>
        <a:srgbClr val="ECE6E2"/>
      </a:accent2>
      <a:accent3>
        <a:srgbClr val="FF7549"/>
      </a:accent3>
      <a:accent4>
        <a:srgbClr val="73C4D0"/>
      </a:accent4>
      <a:accent5>
        <a:srgbClr val="2C50A4"/>
      </a:accent5>
      <a:accent6>
        <a:srgbClr val="9D78D8"/>
      </a:accent6>
      <a:hlink>
        <a:srgbClr val="0D0A42"/>
      </a:hlink>
      <a:folHlink>
        <a:srgbClr val="B9C73B"/>
      </a:folHlink>
    </a:clrScheme>
    <a:fontScheme name="VGS">
      <a:majorFont>
        <a:latin typeface="Frutiger LT Std 55 Roman"/>
        <a:ea typeface=""/>
        <a:cs typeface=""/>
      </a:majorFont>
      <a:minorFont>
        <a:latin typeface="Frutiger LT Std 55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4"/>
        </a:solidFill>
        <a:ln w="6350">
          <a:noFill/>
        </a:ln>
      </a:spPr>
      <a:bodyPr wrap="square" lIns="255600" tIns="255600" rIns="255600" bIns="255600" rtlCol="0">
        <a:spAutoFit/>
      </a:bodyPr>
      <a:lstStyle/>
    </a:txDef>
  </a:objectDefaults>
  <a:extraClrSchemeLst/>
  <a:extLst>
    <a:ext uri="{05A4C25C-085E-4340-85A3-A5531E510DB2}">
      <thm15:themeFamily xmlns:thm15="http://schemas.microsoft.com/office/thememl/2012/main" name="VGS" id="{AA41B695-83C2-2C47-B0FF-B1A6D306E27D}" vid="{F607116B-C5A5-6340-B090-79313CBE78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4820-94F8-5F41-8416-F31A1D3D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2513886_VGS_Word_Advies &amp; Administratie</Template>
  <TotalTime>14</TotalTime>
  <Pages>13</Pages>
  <Words>2180</Words>
  <Characters>13133</Characters>
  <Application>Microsoft Office Word</Application>
  <DocSecurity>0</DocSecurity>
  <Lines>332</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Elsbeth Burger</dc:creator>
  <cp:keywords/>
  <dc:description/>
  <cp:lastModifiedBy>Hilbert Simonse</cp:lastModifiedBy>
  <cp:revision>21</cp:revision>
  <dcterms:created xsi:type="dcterms:W3CDTF">2026-03-24T13:20:00Z</dcterms:created>
  <dcterms:modified xsi:type="dcterms:W3CDTF">2026-04-14T12:18:00Z</dcterms:modified>
</cp:coreProperties>
</file>